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E2C8" w14:textId="77777777" w:rsidR="001D7BC7" w:rsidRPr="005A006E" w:rsidRDefault="001D7BC7" w:rsidP="001D7BC7">
      <w:pPr>
        <w:spacing w:after="0" w:line="240" w:lineRule="auto"/>
        <w:jc w:val="center"/>
        <w:rPr>
          <w:rFonts w:ascii="Times New Roman" w:hAnsi="Times New Roman" w:cs="Times New Roman"/>
          <w:b/>
          <w:sz w:val="20"/>
          <w:szCs w:val="20"/>
        </w:rPr>
      </w:pPr>
      <w:r w:rsidRPr="005A006E">
        <w:rPr>
          <w:rFonts w:ascii="Times New Roman" w:hAnsi="Times New Roman" w:cs="Times New Roman"/>
          <w:b/>
          <w:sz w:val="20"/>
          <w:szCs w:val="20"/>
        </w:rPr>
        <w:t>AMENDMENT</w:t>
      </w:r>
    </w:p>
    <w:p w14:paraId="529EDF62" w14:textId="77777777" w:rsidR="001D7BC7" w:rsidRPr="005A006E" w:rsidRDefault="001D7BC7" w:rsidP="001D7BC7">
      <w:pPr>
        <w:spacing w:after="0" w:line="240" w:lineRule="auto"/>
        <w:jc w:val="center"/>
        <w:rPr>
          <w:rFonts w:ascii="Times New Roman" w:hAnsi="Times New Roman" w:cs="Times New Roman"/>
          <w:b/>
          <w:sz w:val="20"/>
          <w:szCs w:val="20"/>
        </w:rPr>
      </w:pPr>
      <w:r w:rsidRPr="005A006E">
        <w:rPr>
          <w:rFonts w:ascii="Times New Roman" w:hAnsi="Times New Roman" w:cs="Times New Roman"/>
          <w:b/>
          <w:sz w:val="20"/>
          <w:szCs w:val="20"/>
        </w:rPr>
        <w:t xml:space="preserve">TO </w:t>
      </w:r>
    </w:p>
    <w:sdt>
      <w:sdtPr>
        <w:rPr>
          <w:rFonts w:ascii="Times New Roman" w:hAnsi="Times New Roman" w:cs="Times New Roman"/>
          <w:b/>
          <w:sz w:val="20"/>
          <w:szCs w:val="20"/>
        </w:rPr>
        <w:id w:val="-421106235"/>
        <w:placeholder>
          <w:docPart w:val="417416E839DD4ABFB16C3A37557F5BCA"/>
        </w:placeholder>
        <w:text/>
      </w:sdtPr>
      <w:sdtEndPr/>
      <w:sdtContent>
        <w:p w14:paraId="33EC8C71" w14:textId="77777777" w:rsidR="001D7BC7" w:rsidRPr="005A006E" w:rsidRDefault="001D7BC7" w:rsidP="001D7BC7">
          <w:pPr>
            <w:spacing w:after="0" w:line="240" w:lineRule="auto"/>
            <w:jc w:val="center"/>
            <w:rPr>
              <w:rFonts w:ascii="Times New Roman" w:hAnsi="Times New Roman" w:cs="Times New Roman"/>
              <w:b/>
              <w:sz w:val="20"/>
              <w:szCs w:val="20"/>
            </w:rPr>
          </w:pPr>
          <w:r w:rsidRPr="005A006E">
            <w:rPr>
              <w:rFonts w:ascii="Times New Roman" w:hAnsi="Times New Roman" w:cs="Times New Roman"/>
              <w:b/>
              <w:sz w:val="20"/>
              <w:szCs w:val="20"/>
            </w:rPr>
            <w:t>GDPR DATA PROTECTION ADDENDUM</w:t>
          </w:r>
        </w:p>
      </w:sdtContent>
    </w:sdt>
    <w:p w14:paraId="34A741CF" w14:textId="23089253" w:rsidR="001D7BC7" w:rsidRDefault="001D7BC7" w:rsidP="001D7BC7">
      <w:pPr>
        <w:spacing w:after="0" w:line="240" w:lineRule="auto"/>
        <w:jc w:val="both"/>
        <w:rPr>
          <w:rFonts w:ascii="Times New Roman" w:hAnsi="Times New Roman" w:cs="Times New Roman"/>
          <w:sz w:val="20"/>
          <w:szCs w:val="20"/>
        </w:rPr>
      </w:pPr>
    </w:p>
    <w:p w14:paraId="1AE235A6" w14:textId="30601A3F" w:rsidR="008C531A" w:rsidRDefault="008C531A" w:rsidP="001D7B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Amendment (“Amendment”) to the </w:t>
      </w:r>
      <w:r>
        <w:rPr>
          <w:rFonts w:ascii="Times New Roman" w:hAnsi="Times New Roman" w:cs="Times New Roman"/>
          <w:sz w:val="20"/>
          <w:szCs w:val="20"/>
        </w:rPr>
        <w:fldChar w:fldCharType="begin">
          <w:ffData>
            <w:name w:val="Text4"/>
            <w:enabled/>
            <w:calcOnExit w:val="0"/>
            <w:textInput/>
          </w:ffData>
        </w:fldChar>
      </w:r>
      <w:bookmarkStart w:id="0"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entered into by and between </w:t>
      </w:r>
      <w:r>
        <w:rPr>
          <w:rFonts w:ascii="Times New Roman" w:hAnsi="Times New Roman" w:cs="Times New Roman"/>
          <w:sz w:val="20"/>
          <w:szCs w:val="20"/>
        </w:rPr>
        <w:fldChar w:fldCharType="begin">
          <w:ffData>
            <w:name w:val="Text5"/>
            <w:enabled/>
            <w:calcOnExit w:val="0"/>
            <w:textInput/>
          </w:ffData>
        </w:fldChar>
      </w:r>
      <w:bookmarkStart w:id="1"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located at </w:t>
      </w:r>
      <w:r>
        <w:rPr>
          <w:rFonts w:ascii="Times New Roman" w:hAnsi="Times New Roman" w:cs="Times New Roman"/>
          <w:sz w:val="20"/>
          <w:szCs w:val="20"/>
        </w:rPr>
        <w:fldChar w:fldCharType="begin">
          <w:ffData>
            <w:name w:val="Text6"/>
            <w:enabled/>
            <w:calcOnExit w:val="0"/>
            <w:textInput/>
          </w:ffData>
        </w:fldChar>
      </w:r>
      <w:bookmarkStart w:id="2"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(“Customer”), and Cvent, Inc., a Delaware corporation located at 1765 Greensboro Station Place, Suite 700, Tysons Corner, Virginia 22102, on behalf of itself and its wholly-owned subsidiaries (collectively, “Cvent”) as of </w:t>
      </w:r>
      <w:r>
        <w:rPr>
          <w:rFonts w:ascii="Times New Roman" w:hAnsi="Times New Roman" w:cs="Times New Roman"/>
          <w:sz w:val="20"/>
          <w:szCs w:val="20"/>
        </w:rPr>
        <w:fldChar w:fldCharType="begin">
          <w:ffData>
            <w:name w:val="Text7"/>
            <w:enabled/>
            <w:calcOnExit w:val="0"/>
            <w:textInput/>
          </w:ffData>
        </w:fldChar>
      </w:r>
      <w:bookmarkStart w:id="3"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(the “DPA”), is hereby made and entered into effective as of </w:t>
      </w:r>
      <w:r>
        <w:rPr>
          <w:rFonts w:ascii="Times New Roman" w:hAnsi="Times New Roman" w:cs="Times New Roman"/>
          <w:sz w:val="20"/>
          <w:szCs w:val="20"/>
        </w:rPr>
        <w:fldChar w:fldCharType="begin">
          <w:ffData>
            <w:name w:val="Text8"/>
            <w:enabled/>
            <w:calcOnExit w:val="0"/>
            <w:textInput/>
          </w:ffData>
        </w:fldChar>
      </w:r>
      <w:bookmarkStart w:id="4"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(the “Amendment Effective Date”).  </w:t>
      </w:r>
    </w:p>
    <w:p w14:paraId="594BC3BD" w14:textId="77777777" w:rsidR="008C531A" w:rsidRPr="005A006E" w:rsidRDefault="008C531A" w:rsidP="001D7BC7">
      <w:pPr>
        <w:spacing w:after="0" w:line="240" w:lineRule="auto"/>
        <w:jc w:val="both"/>
        <w:rPr>
          <w:rFonts w:ascii="Times New Roman" w:hAnsi="Times New Roman" w:cs="Times New Roman"/>
          <w:sz w:val="20"/>
          <w:szCs w:val="20"/>
        </w:rPr>
      </w:pPr>
    </w:p>
    <w:p w14:paraId="0F946DF4"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WHEREAS</w:t>
      </w:r>
      <w:r w:rsidRPr="005A006E">
        <w:rPr>
          <w:rFonts w:ascii="Times New Roman" w:hAnsi="Times New Roman" w:cs="Times New Roman"/>
          <w:sz w:val="20"/>
          <w:szCs w:val="20"/>
        </w:rPr>
        <w:t>, Cvent and Customer are parties to that certain DPA;</w:t>
      </w:r>
    </w:p>
    <w:p w14:paraId="4C4AF59E" w14:textId="39ABF3A7" w:rsidR="001D7BC7" w:rsidRPr="005A006E" w:rsidRDefault="001D7BC7" w:rsidP="001D7BC7">
      <w:pPr>
        <w:spacing w:after="0" w:line="240" w:lineRule="auto"/>
        <w:jc w:val="both"/>
        <w:rPr>
          <w:rFonts w:ascii="Times New Roman" w:hAnsi="Times New Roman" w:cs="Times New Roman"/>
          <w:sz w:val="20"/>
          <w:szCs w:val="20"/>
        </w:rPr>
      </w:pPr>
    </w:p>
    <w:p w14:paraId="72BD8F47"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bCs/>
          <w:sz w:val="20"/>
          <w:szCs w:val="20"/>
        </w:rPr>
        <w:t>WHEREAS</w:t>
      </w:r>
      <w:r w:rsidRPr="005A006E">
        <w:rPr>
          <w:rFonts w:ascii="Times New Roman" w:hAnsi="Times New Roman" w:cs="Times New Roman"/>
          <w:sz w:val="20"/>
          <w:szCs w:val="20"/>
        </w:rPr>
        <w:t xml:space="preserve">, the basis for transfer of personal data to Cvent (if to the United States) were </w:t>
      </w:r>
      <w:r>
        <w:rPr>
          <w:rFonts w:ascii="Times New Roman" w:hAnsi="Times New Roman" w:cs="Times New Roman"/>
          <w:sz w:val="20"/>
          <w:szCs w:val="20"/>
        </w:rPr>
        <w:t xml:space="preserve">previously </w:t>
      </w:r>
      <w:r w:rsidRPr="005A006E">
        <w:rPr>
          <w:rFonts w:ascii="Times New Roman" w:hAnsi="Times New Roman" w:cs="Times New Roman"/>
          <w:sz w:val="20"/>
          <w:szCs w:val="20"/>
        </w:rPr>
        <w:t>made pursuant to the EU-U.S. Privacy Shield</w:t>
      </w:r>
      <w:r>
        <w:rPr>
          <w:rFonts w:ascii="Times New Roman" w:hAnsi="Times New Roman" w:cs="Times New Roman"/>
          <w:sz w:val="20"/>
          <w:szCs w:val="20"/>
        </w:rPr>
        <w:t xml:space="preserve"> or the Standard Contractual Clauses adopted by the European Commission</w:t>
      </w:r>
      <w:r w:rsidRPr="005A006E">
        <w:rPr>
          <w:rFonts w:ascii="Times New Roman" w:hAnsi="Times New Roman" w:cs="Times New Roman"/>
          <w:sz w:val="20"/>
          <w:szCs w:val="20"/>
        </w:rPr>
        <w:t>;</w:t>
      </w:r>
    </w:p>
    <w:p w14:paraId="6D2E91AC" w14:textId="77777777" w:rsidR="001D7BC7" w:rsidRPr="005A006E" w:rsidRDefault="001D7BC7" w:rsidP="001D7BC7">
      <w:pPr>
        <w:spacing w:after="0" w:line="240" w:lineRule="auto"/>
        <w:jc w:val="both"/>
        <w:rPr>
          <w:rFonts w:ascii="Times New Roman" w:hAnsi="Times New Roman" w:cs="Times New Roman"/>
          <w:sz w:val="20"/>
          <w:szCs w:val="20"/>
        </w:rPr>
      </w:pPr>
    </w:p>
    <w:p w14:paraId="2E976F7E" w14:textId="77777777" w:rsidR="001D7BC7" w:rsidRPr="005A006E" w:rsidRDefault="001D7BC7" w:rsidP="001D7BC7">
      <w:pPr>
        <w:spacing w:after="0" w:line="240" w:lineRule="auto"/>
        <w:rPr>
          <w:rFonts w:ascii="Times New Roman" w:hAnsi="Times New Roman" w:cs="Times New Roman"/>
          <w:sz w:val="20"/>
          <w:szCs w:val="20"/>
        </w:rPr>
      </w:pPr>
      <w:r w:rsidRPr="005A006E">
        <w:rPr>
          <w:rFonts w:ascii="Times New Roman" w:hAnsi="Times New Roman" w:cs="Times New Roman"/>
          <w:b/>
          <w:bCs/>
          <w:sz w:val="20"/>
          <w:szCs w:val="20"/>
        </w:rPr>
        <w:t xml:space="preserve">WHEREAS, </w:t>
      </w:r>
      <w:r w:rsidRPr="005A006E">
        <w:rPr>
          <w:rFonts w:ascii="Times New Roman" w:hAnsi="Times New Roman" w:cs="Times New Roman"/>
          <w:sz w:val="20"/>
          <w:szCs w:val="20"/>
        </w:rPr>
        <w:t>the Court of Justice of the European Union ruled on July 16, 2020 the EU-U.S. Privacy Shield was an invalid mechanism for international transfer of personal data and confirmed that international data flows under EU Data Protection Laws can continue to be based on the standard data protection clauses adopted by the Commission (“Standard Contractual Clauses”);</w:t>
      </w:r>
    </w:p>
    <w:p w14:paraId="029CFFEE" w14:textId="77777777" w:rsidR="001D7BC7" w:rsidRPr="005A006E" w:rsidRDefault="001D7BC7" w:rsidP="001D7BC7">
      <w:pPr>
        <w:spacing w:after="0" w:line="240" w:lineRule="auto"/>
        <w:rPr>
          <w:rFonts w:ascii="Times New Roman" w:hAnsi="Times New Roman" w:cs="Times New Roman"/>
          <w:sz w:val="20"/>
          <w:szCs w:val="20"/>
        </w:rPr>
      </w:pPr>
    </w:p>
    <w:p w14:paraId="5C13080E" w14:textId="77777777" w:rsidR="001D7BC7"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bCs/>
          <w:sz w:val="20"/>
          <w:szCs w:val="20"/>
        </w:rPr>
        <w:t xml:space="preserve">WHEREAS, </w:t>
      </w:r>
      <w:r w:rsidRPr="005A006E">
        <w:rPr>
          <w:rFonts w:ascii="Times New Roman" w:hAnsi="Times New Roman" w:cs="Times New Roman"/>
          <w:sz w:val="20"/>
          <w:szCs w:val="20"/>
        </w:rPr>
        <w:t>new contractual clauses were adopted by the Commission Implementing Decision (EU) 2021/679 as of 4 June 2021 for the transfer of personal data to third countries pursuant to Regulation (EU) 2016/679 of the European Parliament and of the Council (“</w:t>
      </w:r>
      <w:r>
        <w:rPr>
          <w:rFonts w:ascii="Times New Roman" w:hAnsi="Times New Roman" w:cs="Times New Roman"/>
          <w:sz w:val="20"/>
          <w:szCs w:val="20"/>
        </w:rPr>
        <w:t xml:space="preserve">2021 EU </w:t>
      </w:r>
      <w:r w:rsidRPr="005A006E">
        <w:rPr>
          <w:rFonts w:ascii="Times New Roman" w:hAnsi="Times New Roman" w:cs="Times New Roman"/>
          <w:sz w:val="20"/>
          <w:szCs w:val="20"/>
        </w:rPr>
        <w:t>Standard Contractual Clauses”)</w:t>
      </w:r>
      <w:r>
        <w:rPr>
          <w:rFonts w:ascii="Times New Roman" w:hAnsi="Times New Roman" w:cs="Times New Roman"/>
          <w:sz w:val="20"/>
          <w:szCs w:val="20"/>
        </w:rPr>
        <w:t xml:space="preserve">; </w:t>
      </w:r>
    </w:p>
    <w:p w14:paraId="6128DC93" w14:textId="77777777" w:rsidR="001D7BC7" w:rsidRDefault="001D7BC7" w:rsidP="001D7BC7">
      <w:pPr>
        <w:spacing w:after="0" w:line="240" w:lineRule="auto"/>
        <w:jc w:val="both"/>
        <w:rPr>
          <w:rFonts w:ascii="Times New Roman" w:hAnsi="Times New Roman" w:cs="Times New Roman"/>
          <w:sz w:val="20"/>
          <w:szCs w:val="20"/>
        </w:rPr>
      </w:pPr>
    </w:p>
    <w:p w14:paraId="77A2DBED" w14:textId="628884F5" w:rsidR="001D7BC7" w:rsidRPr="008D1BDF" w:rsidRDefault="001D7BC7" w:rsidP="001D7BC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WHEREAS</w:t>
      </w:r>
      <w:r>
        <w:rPr>
          <w:rFonts w:ascii="Times New Roman" w:hAnsi="Times New Roman" w:cs="Times New Roman"/>
          <w:sz w:val="20"/>
          <w:szCs w:val="20"/>
        </w:rPr>
        <w:t xml:space="preserve">, the </w:t>
      </w:r>
      <w:r w:rsidRPr="008D1BDF">
        <w:rPr>
          <w:rFonts w:ascii="Times New Roman" w:hAnsi="Times New Roman" w:cs="Times New Roman"/>
          <w:sz w:val="20"/>
          <w:szCs w:val="20"/>
        </w:rPr>
        <w:t xml:space="preserve">UK ICO </w:t>
      </w:r>
      <w:r w:rsidR="008C531A">
        <w:rPr>
          <w:rFonts w:ascii="Times New Roman" w:hAnsi="Times New Roman" w:cs="Times New Roman"/>
          <w:sz w:val="20"/>
          <w:szCs w:val="20"/>
        </w:rPr>
        <w:t xml:space="preserve">has issued </w:t>
      </w:r>
      <w:r w:rsidRPr="008D1BDF">
        <w:rPr>
          <w:rFonts w:ascii="Times New Roman" w:hAnsi="Times New Roman" w:cs="Times New Roman"/>
          <w:sz w:val="20"/>
          <w:szCs w:val="20"/>
        </w:rPr>
        <w:t xml:space="preserve"> as a permitted mechanism for </w:t>
      </w:r>
      <w:r>
        <w:rPr>
          <w:rFonts w:ascii="Times New Roman" w:hAnsi="Times New Roman" w:cs="Times New Roman"/>
          <w:sz w:val="20"/>
          <w:szCs w:val="20"/>
        </w:rPr>
        <w:t xml:space="preserve">restricted </w:t>
      </w:r>
      <w:r w:rsidRPr="008D1BDF">
        <w:rPr>
          <w:rFonts w:ascii="Times New Roman" w:hAnsi="Times New Roman" w:cs="Times New Roman"/>
          <w:sz w:val="20"/>
          <w:szCs w:val="20"/>
        </w:rPr>
        <w:t>transfer</w:t>
      </w:r>
      <w:r>
        <w:rPr>
          <w:rFonts w:ascii="Times New Roman" w:hAnsi="Times New Roman" w:cs="Times New Roman"/>
          <w:sz w:val="20"/>
          <w:szCs w:val="20"/>
        </w:rPr>
        <w:t>s from the UK</w:t>
      </w:r>
      <w:r w:rsidRPr="008D1BDF">
        <w:rPr>
          <w:rFonts w:ascii="Times New Roman" w:hAnsi="Times New Roman" w:cs="Times New Roman"/>
          <w:sz w:val="20"/>
          <w:szCs w:val="20"/>
        </w:rPr>
        <w:t xml:space="preserve">, </w:t>
      </w:r>
      <w:r w:rsidR="008C531A">
        <w:rPr>
          <w:rFonts w:ascii="Times New Roman" w:hAnsi="Times New Roman" w:cs="Times New Roman"/>
          <w:sz w:val="20"/>
          <w:szCs w:val="20"/>
        </w:rPr>
        <w:t xml:space="preserve">in force as of March 21, 2022 </w:t>
      </w:r>
      <w:r>
        <w:rPr>
          <w:rFonts w:ascii="Times New Roman" w:hAnsi="Times New Roman" w:cs="Times New Roman"/>
          <w:sz w:val="20"/>
          <w:szCs w:val="20"/>
        </w:rPr>
        <w:t xml:space="preserve">(“UK </w:t>
      </w:r>
      <w:r w:rsidR="008C531A">
        <w:rPr>
          <w:rFonts w:ascii="Times New Roman" w:hAnsi="Times New Roman" w:cs="Times New Roman"/>
          <w:sz w:val="20"/>
          <w:szCs w:val="20"/>
        </w:rPr>
        <w:t>International Data Transfer Addendum</w:t>
      </w:r>
      <w:r>
        <w:rPr>
          <w:rFonts w:ascii="Times New Roman" w:hAnsi="Times New Roman" w:cs="Times New Roman"/>
          <w:sz w:val="20"/>
          <w:szCs w:val="20"/>
        </w:rPr>
        <w:t>”)</w:t>
      </w:r>
      <w:r w:rsidR="008C531A">
        <w:rPr>
          <w:rFonts w:ascii="Times New Roman" w:hAnsi="Times New Roman" w:cs="Times New Roman"/>
          <w:sz w:val="20"/>
          <w:szCs w:val="20"/>
        </w:rPr>
        <w:t>.</w:t>
      </w:r>
    </w:p>
    <w:p w14:paraId="3DDBFBD9" w14:textId="77777777" w:rsidR="001D7BC7" w:rsidRPr="005A006E" w:rsidRDefault="001D7BC7" w:rsidP="001D7BC7">
      <w:pPr>
        <w:spacing w:after="0" w:line="240" w:lineRule="auto"/>
        <w:jc w:val="both"/>
        <w:rPr>
          <w:rFonts w:ascii="Times New Roman" w:hAnsi="Times New Roman" w:cs="Times New Roman"/>
          <w:b/>
          <w:bCs/>
          <w:sz w:val="20"/>
          <w:szCs w:val="20"/>
        </w:rPr>
      </w:pPr>
    </w:p>
    <w:p w14:paraId="3B598B46"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WHEREAS</w:t>
      </w:r>
      <w:r w:rsidRPr="005A006E">
        <w:rPr>
          <w:rFonts w:ascii="Times New Roman" w:hAnsi="Times New Roman" w:cs="Times New Roman"/>
          <w:sz w:val="20"/>
          <w:szCs w:val="20"/>
        </w:rPr>
        <w:t>, the parties desire to amend the DPA, effective as of the Amendment Effective Date, consistent with the terms and conditions of this Amendment.</w:t>
      </w:r>
    </w:p>
    <w:p w14:paraId="7540D54B" w14:textId="77777777" w:rsidR="001D7BC7" w:rsidRPr="005A006E" w:rsidRDefault="001D7BC7" w:rsidP="001D7BC7">
      <w:pPr>
        <w:spacing w:after="0" w:line="240" w:lineRule="auto"/>
        <w:jc w:val="both"/>
        <w:rPr>
          <w:rFonts w:ascii="Times New Roman" w:hAnsi="Times New Roman" w:cs="Times New Roman"/>
          <w:sz w:val="20"/>
          <w:szCs w:val="20"/>
        </w:rPr>
      </w:pPr>
    </w:p>
    <w:p w14:paraId="5343886B"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NOW, THEREFORE</w:t>
      </w:r>
      <w:r w:rsidRPr="005A006E">
        <w:rPr>
          <w:rFonts w:ascii="Times New Roman" w:hAnsi="Times New Roman" w:cs="Times New Roman"/>
          <w:sz w:val="20"/>
          <w:szCs w:val="20"/>
        </w:rPr>
        <w:t>, in consideration of the mutual covenants contained herein, the parties hereby agree as follows:</w:t>
      </w:r>
    </w:p>
    <w:p w14:paraId="60D5598B" w14:textId="77777777" w:rsidR="001D7BC7" w:rsidRPr="005A006E" w:rsidRDefault="001D7BC7" w:rsidP="001D7BC7">
      <w:pPr>
        <w:spacing w:after="0" w:line="240" w:lineRule="auto"/>
        <w:jc w:val="both"/>
        <w:rPr>
          <w:rFonts w:ascii="Times New Roman" w:hAnsi="Times New Roman" w:cs="Times New Roman"/>
          <w:sz w:val="20"/>
          <w:szCs w:val="20"/>
        </w:rPr>
      </w:pPr>
    </w:p>
    <w:p w14:paraId="73D9202E" w14:textId="77777777" w:rsidR="001D7BC7"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1</w:t>
      </w:r>
      <w:r w:rsidRPr="005A006E">
        <w:rPr>
          <w:rFonts w:ascii="Times New Roman" w:hAnsi="Times New Roman" w:cs="Times New Roman"/>
          <w:sz w:val="20"/>
          <w:szCs w:val="20"/>
        </w:rPr>
        <w:t>.</w:t>
      </w:r>
      <w:r w:rsidRPr="005A006E">
        <w:rPr>
          <w:rFonts w:ascii="Times New Roman" w:hAnsi="Times New Roman" w:cs="Times New Roman"/>
          <w:sz w:val="20"/>
          <w:szCs w:val="20"/>
        </w:rPr>
        <w:tab/>
      </w:r>
      <w:r w:rsidRPr="005A006E">
        <w:rPr>
          <w:rFonts w:ascii="Times New Roman" w:hAnsi="Times New Roman" w:cs="Times New Roman"/>
          <w:sz w:val="20"/>
          <w:szCs w:val="20"/>
          <w:u w:val="single"/>
        </w:rPr>
        <w:t>Definitions</w:t>
      </w:r>
      <w:r w:rsidRPr="005A006E">
        <w:rPr>
          <w:rFonts w:ascii="Times New Roman" w:hAnsi="Times New Roman" w:cs="Times New Roman"/>
          <w:sz w:val="20"/>
          <w:szCs w:val="20"/>
        </w:rPr>
        <w:t>.  Capitalized terms used in this Amendment shall have the meaning ascribed to them in the DPA unless otherwise specifically defined herein.  The Whereas clauses set forth above are hereby incorporated into and made a part of this Amendment as if fully set forth herein.</w:t>
      </w:r>
      <w:r>
        <w:rPr>
          <w:rFonts w:ascii="Times New Roman" w:hAnsi="Times New Roman" w:cs="Times New Roman"/>
          <w:sz w:val="20"/>
          <w:szCs w:val="20"/>
        </w:rPr>
        <w:t xml:space="preserve">  For the purposes of this Amendment:</w:t>
      </w:r>
    </w:p>
    <w:p w14:paraId="6BB47A1F" w14:textId="77777777" w:rsidR="001D7BC7" w:rsidRDefault="001D7BC7" w:rsidP="001D7BC7">
      <w:pPr>
        <w:spacing w:after="0" w:line="240" w:lineRule="auto"/>
        <w:jc w:val="both"/>
        <w:rPr>
          <w:rFonts w:ascii="Times New Roman" w:hAnsi="Times New Roman" w:cs="Times New Roman"/>
          <w:sz w:val="20"/>
          <w:szCs w:val="20"/>
        </w:rPr>
      </w:pPr>
    </w:p>
    <w:p w14:paraId="05BDE962" w14:textId="77777777" w:rsidR="001D7BC7" w:rsidRDefault="001D7BC7" w:rsidP="001D7BC7">
      <w:pPr>
        <w:spacing w:after="0" w:line="240" w:lineRule="auto"/>
        <w:jc w:val="both"/>
        <w:rPr>
          <w:rFonts w:ascii="Times New Roman" w:hAnsi="Times New Roman" w:cs="Times New Roman"/>
          <w:sz w:val="20"/>
          <w:szCs w:val="20"/>
        </w:rPr>
      </w:pPr>
      <w:r w:rsidRPr="008D1BDF">
        <w:rPr>
          <w:rFonts w:ascii="Times New Roman" w:hAnsi="Times New Roman" w:cs="Times New Roman"/>
          <w:sz w:val="20"/>
          <w:szCs w:val="20"/>
        </w:rPr>
        <w:t>(</w:t>
      </w:r>
      <w:r>
        <w:rPr>
          <w:rFonts w:ascii="Times New Roman" w:hAnsi="Times New Roman" w:cs="Times New Roman"/>
          <w:sz w:val="20"/>
          <w:szCs w:val="20"/>
        </w:rPr>
        <w:t>a</w:t>
      </w:r>
      <w:r w:rsidRPr="008D1BDF">
        <w:rPr>
          <w:rFonts w:ascii="Times New Roman" w:hAnsi="Times New Roman" w:cs="Times New Roman"/>
          <w:sz w:val="20"/>
          <w:szCs w:val="20"/>
        </w:rPr>
        <w:t>)</w:t>
      </w:r>
      <w:r w:rsidRPr="008D1BDF">
        <w:rPr>
          <w:rFonts w:ascii="Times New Roman" w:hAnsi="Times New Roman" w:cs="Times New Roman"/>
          <w:sz w:val="20"/>
          <w:szCs w:val="20"/>
        </w:rPr>
        <w:tab/>
      </w:r>
      <w:r w:rsidRPr="00E52BAF">
        <w:rPr>
          <w:rFonts w:ascii="Times New Roman" w:hAnsi="Times New Roman" w:cs="Times New Roman"/>
          <w:sz w:val="20"/>
          <w:szCs w:val="20"/>
        </w:rPr>
        <w:t>"Applicable Data Protection Laws" means all laws and regulations, including laws and regulations of the European Union, the European Economic Area and their member states, Switzerland, and the United Kingdom, applicable to the Processing of Personal Data under the Agreement.</w:t>
      </w:r>
    </w:p>
    <w:p w14:paraId="61AEFA4A" w14:textId="77777777" w:rsidR="001D7BC7" w:rsidRPr="008D1BDF" w:rsidRDefault="001D7BC7" w:rsidP="001D7B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8D1BDF">
        <w:rPr>
          <w:rFonts w:ascii="Times New Roman" w:hAnsi="Times New Roman" w:cs="Times New Roman"/>
          <w:sz w:val="20"/>
          <w:szCs w:val="20"/>
        </w:rPr>
        <w:t>“EU Standard Contractual Clauses” means, as applicable, the agreement executed by and between Customer and Cvent and attached hereto as Attachment 1 pursuant to the European Commission on Standard Contractual Clauses for the transfer of personal data to processors established in third countries which do not ensure an adequate level of data protection.</w:t>
      </w:r>
    </w:p>
    <w:p w14:paraId="10C4D0BD" w14:textId="6C5B1359" w:rsidR="001D7BC7" w:rsidRPr="005A006E" w:rsidRDefault="001D7BC7" w:rsidP="001D7BC7">
      <w:pPr>
        <w:spacing w:after="0" w:line="240" w:lineRule="auto"/>
        <w:jc w:val="both"/>
        <w:rPr>
          <w:rFonts w:ascii="Times New Roman" w:hAnsi="Times New Roman" w:cs="Times New Roman"/>
          <w:sz w:val="20"/>
          <w:szCs w:val="20"/>
        </w:rPr>
      </w:pPr>
      <w:r w:rsidRPr="008D1BDF">
        <w:rPr>
          <w:rFonts w:ascii="Times New Roman" w:hAnsi="Times New Roman" w:cs="Times New Roman"/>
          <w:sz w:val="20"/>
          <w:szCs w:val="20"/>
        </w:rPr>
        <w:t>(</w:t>
      </w:r>
      <w:r>
        <w:rPr>
          <w:rFonts w:ascii="Times New Roman" w:hAnsi="Times New Roman" w:cs="Times New Roman"/>
          <w:sz w:val="20"/>
          <w:szCs w:val="20"/>
        </w:rPr>
        <w:t>c</w:t>
      </w:r>
      <w:r w:rsidRPr="008D1BDF">
        <w:rPr>
          <w:rFonts w:ascii="Times New Roman" w:hAnsi="Times New Roman" w:cs="Times New Roman"/>
          <w:sz w:val="20"/>
          <w:szCs w:val="20"/>
        </w:rPr>
        <w:t>)</w:t>
      </w:r>
      <w:r w:rsidRPr="008D1BDF">
        <w:rPr>
          <w:rFonts w:ascii="Times New Roman" w:hAnsi="Times New Roman" w:cs="Times New Roman"/>
          <w:sz w:val="20"/>
          <w:szCs w:val="20"/>
        </w:rPr>
        <w:tab/>
        <w:t xml:space="preserve">“UK </w:t>
      </w:r>
      <w:r w:rsidR="007D0860">
        <w:rPr>
          <w:rFonts w:ascii="Times New Roman" w:hAnsi="Times New Roman" w:cs="Times New Roman"/>
          <w:sz w:val="20"/>
          <w:szCs w:val="20"/>
        </w:rPr>
        <w:t>International Data Transfer Addendum</w:t>
      </w:r>
      <w:r w:rsidRPr="008D1BDF">
        <w:rPr>
          <w:rFonts w:ascii="Times New Roman" w:hAnsi="Times New Roman" w:cs="Times New Roman"/>
          <w:sz w:val="20"/>
          <w:szCs w:val="20"/>
        </w:rPr>
        <w:t xml:space="preserve">” means, </w:t>
      </w:r>
      <w:r w:rsidR="007D0860" w:rsidRPr="007D0860">
        <w:rPr>
          <w:rFonts w:ascii="Times New Roman" w:hAnsi="Times New Roman" w:cs="Times New Roman"/>
          <w:sz w:val="20"/>
          <w:szCs w:val="20"/>
        </w:rPr>
        <w:t xml:space="preserve">the International Data Transfer Addendum to the EU Commission Standard Contractual Clauses addendum executed by and between </w:t>
      </w:r>
      <w:r w:rsidR="007D0860">
        <w:rPr>
          <w:rFonts w:ascii="Times New Roman" w:hAnsi="Times New Roman" w:cs="Times New Roman"/>
          <w:sz w:val="20"/>
          <w:szCs w:val="20"/>
        </w:rPr>
        <w:t xml:space="preserve">Customer </w:t>
      </w:r>
      <w:r w:rsidR="007D0860" w:rsidRPr="007D0860">
        <w:rPr>
          <w:rFonts w:ascii="Times New Roman" w:hAnsi="Times New Roman" w:cs="Times New Roman"/>
          <w:sz w:val="20"/>
          <w:szCs w:val="20"/>
        </w:rPr>
        <w:t>and Cvent and attached hereto as Attachment 2 issued by the UK ICO</w:t>
      </w:r>
      <w:r w:rsidR="007D0860">
        <w:rPr>
          <w:rFonts w:ascii="Times New Roman" w:hAnsi="Times New Roman" w:cs="Times New Roman"/>
          <w:sz w:val="20"/>
          <w:szCs w:val="20"/>
        </w:rPr>
        <w:t>.</w:t>
      </w:r>
    </w:p>
    <w:p w14:paraId="69888CB1" w14:textId="77777777" w:rsidR="001D7BC7" w:rsidRPr="005A006E" w:rsidRDefault="001D7BC7" w:rsidP="001D7BC7">
      <w:pPr>
        <w:spacing w:after="0" w:line="240" w:lineRule="auto"/>
        <w:jc w:val="both"/>
        <w:rPr>
          <w:rFonts w:ascii="Times New Roman" w:hAnsi="Times New Roman" w:cs="Times New Roman"/>
          <w:sz w:val="20"/>
          <w:szCs w:val="20"/>
        </w:rPr>
      </w:pPr>
    </w:p>
    <w:p w14:paraId="368A5EAF"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2</w:t>
      </w:r>
      <w:r w:rsidRPr="005A006E">
        <w:rPr>
          <w:rFonts w:ascii="Times New Roman" w:hAnsi="Times New Roman" w:cs="Times New Roman"/>
          <w:sz w:val="20"/>
          <w:szCs w:val="20"/>
        </w:rPr>
        <w:t>.</w:t>
      </w:r>
      <w:r w:rsidRPr="005A006E">
        <w:rPr>
          <w:rFonts w:ascii="Times New Roman" w:hAnsi="Times New Roman" w:cs="Times New Roman"/>
          <w:sz w:val="20"/>
          <w:szCs w:val="20"/>
        </w:rPr>
        <w:tab/>
      </w:r>
      <w:r w:rsidRPr="005A006E">
        <w:rPr>
          <w:rFonts w:ascii="Times New Roman" w:hAnsi="Times New Roman" w:cs="Times New Roman"/>
          <w:sz w:val="20"/>
          <w:szCs w:val="20"/>
          <w:u w:val="single"/>
        </w:rPr>
        <w:t>Amended Terms and Conditions</w:t>
      </w:r>
      <w:r w:rsidRPr="005A006E">
        <w:rPr>
          <w:rFonts w:ascii="Times New Roman" w:hAnsi="Times New Roman" w:cs="Times New Roman"/>
          <w:sz w:val="20"/>
          <w:szCs w:val="20"/>
        </w:rPr>
        <w:t>.  The parties agree to amend the DPA as follows:</w:t>
      </w:r>
    </w:p>
    <w:p w14:paraId="755F2721" w14:textId="77777777" w:rsidR="001D7BC7" w:rsidRPr="005A006E" w:rsidRDefault="001D7BC7" w:rsidP="001D7BC7">
      <w:pPr>
        <w:spacing w:after="0" w:line="240" w:lineRule="auto"/>
        <w:jc w:val="both"/>
        <w:rPr>
          <w:rFonts w:ascii="Times New Roman" w:hAnsi="Times New Roman" w:cs="Times New Roman"/>
          <w:sz w:val="20"/>
          <w:szCs w:val="20"/>
        </w:rPr>
      </w:pPr>
    </w:p>
    <w:p w14:paraId="5E6D08BC" w14:textId="77777777" w:rsidR="001D7BC7" w:rsidRPr="005A006E" w:rsidRDefault="001D7BC7" w:rsidP="001D7BC7">
      <w:pPr>
        <w:pStyle w:val="ListParagraph"/>
        <w:numPr>
          <w:ilvl w:val="0"/>
          <w:numId w:val="1"/>
        </w:numPr>
        <w:spacing w:after="0"/>
        <w:rPr>
          <w:bCs/>
          <w:sz w:val="20"/>
          <w:szCs w:val="20"/>
        </w:rPr>
      </w:pPr>
      <w:r>
        <w:rPr>
          <w:bCs/>
          <w:sz w:val="20"/>
          <w:szCs w:val="20"/>
        </w:rPr>
        <w:t>Notwithstanding anything set forth in the DPA, the</w:t>
      </w:r>
      <w:r w:rsidRPr="005A006E">
        <w:rPr>
          <w:bCs/>
          <w:sz w:val="20"/>
          <w:szCs w:val="20"/>
        </w:rPr>
        <w:t xml:space="preserve"> Parties hereby agree to the following:</w:t>
      </w:r>
    </w:p>
    <w:p w14:paraId="17F4F5EE" w14:textId="77777777" w:rsidR="001D7BC7" w:rsidRPr="005A006E" w:rsidRDefault="001D7BC7" w:rsidP="001D7BC7">
      <w:pPr>
        <w:pStyle w:val="ListParagraph"/>
        <w:spacing w:after="0"/>
        <w:rPr>
          <w:bCs/>
          <w:sz w:val="20"/>
          <w:szCs w:val="20"/>
        </w:rPr>
      </w:pPr>
    </w:p>
    <w:p w14:paraId="2B8B78F0" w14:textId="77777777" w:rsidR="001D7BC7" w:rsidRDefault="001D7BC7" w:rsidP="001D7BC7">
      <w:pPr>
        <w:pStyle w:val="ListParagraph"/>
        <w:spacing w:after="0"/>
        <w:rPr>
          <w:sz w:val="20"/>
          <w:szCs w:val="20"/>
        </w:rPr>
      </w:pPr>
      <w:r w:rsidRPr="005A006E">
        <w:rPr>
          <w:sz w:val="20"/>
          <w:szCs w:val="20"/>
        </w:rPr>
        <w:t xml:space="preserve">“Cvent  makes  available  the  </w:t>
      </w:r>
      <w:r>
        <w:rPr>
          <w:sz w:val="20"/>
          <w:szCs w:val="20"/>
        </w:rPr>
        <w:t xml:space="preserve">following </w:t>
      </w:r>
      <w:r w:rsidRPr="005A006E">
        <w:rPr>
          <w:sz w:val="20"/>
          <w:szCs w:val="20"/>
        </w:rPr>
        <w:t>transfer  mechanism which  shall  apply,  in  the  same order  of  precedence  as  set  out below,  to  any  transfers  of  Customer Personal  Data  under  this DPA  from  the  European  Union,  the  European  Economic  Area  and/or  their  member  states,</w:t>
      </w:r>
      <w:r>
        <w:rPr>
          <w:sz w:val="20"/>
          <w:szCs w:val="20"/>
        </w:rPr>
        <w:t xml:space="preserve"> </w:t>
      </w:r>
      <w:r w:rsidRPr="005A006E">
        <w:rPr>
          <w:sz w:val="20"/>
          <w:szCs w:val="20"/>
        </w:rPr>
        <w:t>Switzerland</w:t>
      </w:r>
      <w:r>
        <w:rPr>
          <w:sz w:val="20"/>
          <w:szCs w:val="20"/>
        </w:rPr>
        <w:t xml:space="preserve"> and the United Kingdom</w:t>
      </w:r>
      <w:r w:rsidRPr="005A006E">
        <w:rPr>
          <w:sz w:val="20"/>
          <w:szCs w:val="20"/>
        </w:rPr>
        <w:t xml:space="preserve"> to  countries  which  do  not  ensure  an  adequate  level  of data  protection  within  the  meaning  of </w:t>
      </w:r>
      <w:r>
        <w:rPr>
          <w:sz w:val="20"/>
          <w:szCs w:val="20"/>
        </w:rPr>
        <w:t xml:space="preserve">Applicable </w:t>
      </w:r>
      <w:r w:rsidRPr="005A006E">
        <w:rPr>
          <w:sz w:val="20"/>
          <w:szCs w:val="20"/>
        </w:rPr>
        <w:t xml:space="preserve">Data  Protection Laws  of  the  foregoing territories, to the extent such transfers are subject to such </w:t>
      </w:r>
      <w:r>
        <w:rPr>
          <w:sz w:val="20"/>
          <w:szCs w:val="20"/>
        </w:rPr>
        <w:t xml:space="preserve">Applicable </w:t>
      </w:r>
      <w:r w:rsidRPr="005A006E">
        <w:rPr>
          <w:sz w:val="20"/>
          <w:szCs w:val="20"/>
        </w:rPr>
        <w:t xml:space="preserve">Data Protection Laws:  </w:t>
      </w:r>
    </w:p>
    <w:p w14:paraId="20AB61FC" w14:textId="77777777" w:rsidR="001D7BC7" w:rsidRDefault="001D7BC7" w:rsidP="001D7BC7">
      <w:pPr>
        <w:pStyle w:val="ListParagraph"/>
        <w:spacing w:after="0"/>
        <w:rPr>
          <w:sz w:val="20"/>
          <w:szCs w:val="20"/>
        </w:rPr>
      </w:pPr>
    </w:p>
    <w:p w14:paraId="69DACF5F" w14:textId="77777777" w:rsidR="001D7BC7" w:rsidRDefault="001D7BC7" w:rsidP="001D7BC7">
      <w:pPr>
        <w:pStyle w:val="ListParagraph"/>
        <w:numPr>
          <w:ilvl w:val="0"/>
          <w:numId w:val="19"/>
        </w:numPr>
        <w:spacing w:after="0"/>
        <w:ind w:left="1080"/>
        <w:rPr>
          <w:sz w:val="20"/>
          <w:szCs w:val="20"/>
        </w:rPr>
      </w:pPr>
      <w:r>
        <w:rPr>
          <w:sz w:val="20"/>
          <w:szCs w:val="20"/>
        </w:rPr>
        <w:t>2021 S</w:t>
      </w:r>
      <w:r w:rsidRPr="005A006E">
        <w:rPr>
          <w:sz w:val="20"/>
          <w:szCs w:val="20"/>
        </w:rPr>
        <w:t>tandard Contractual Clauses, attached hereto as Attachment 1.</w:t>
      </w:r>
      <w:r>
        <w:rPr>
          <w:sz w:val="20"/>
          <w:szCs w:val="20"/>
        </w:rPr>
        <w:t xml:space="preserve">  </w:t>
      </w:r>
      <w:bookmarkStart w:id="5" w:name="_Hlk79405729"/>
    </w:p>
    <w:p w14:paraId="0A524CA7" w14:textId="637483D1" w:rsidR="001D7BC7" w:rsidRPr="00E52BAF" w:rsidRDefault="001D7BC7" w:rsidP="001D7BC7">
      <w:pPr>
        <w:pStyle w:val="ListParagraph"/>
        <w:numPr>
          <w:ilvl w:val="0"/>
          <w:numId w:val="19"/>
        </w:numPr>
        <w:ind w:left="1080"/>
        <w:rPr>
          <w:sz w:val="20"/>
          <w:szCs w:val="20"/>
        </w:rPr>
      </w:pPr>
      <w:r w:rsidRPr="00E52BAF">
        <w:rPr>
          <w:sz w:val="20"/>
          <w:szCs w:val="20"/>
        </w:rPr>
        <w:t xml:space="preserve">UK </w:t>
      </w:r>
      <w:r w:rsidR="007D0860">
        <w:rPr>
          <w:sz w:val="20"/>
          <w:szCs w:val="20"/>
        </w:rPr>
        <w:t>International Data Transfer Addendum</w:t>
      </w:r>
      <w:r w:rsidRPr="00E52BAF">
        <w:rPr>
          <w:sz w:val="20"/>
          <w:szCs w:val="20"/>
        </w:rPr>
        <w:t xml:space="preserve"> attached as Attachment 2.</w:t>
      </w:r>
    </w:p>
    <w:bookmarkEnd w:id="5"/>
    <w:p w14:paraId="12534DAE" w14:textId="77777777" w:rsidR="001D7BC7" w:rsidRPr="005A006E" w:rsidRDefault="001D7BC7" w:rsidP="001D7BC7">
      <w:pPr>
        <w:spacing w:after="0" w:line="240" w:lineRule="auto"/>
        <w:rPr>
          <w:rFonts w:ascii="Times New Roman" w:hAnsi="Times New Roman" w:cs="Times New Roman"/>
          <w:bCs/>
          <w:sz w:val="20"/>
          <w:szCs w:val="20"/>
        </w:rPr>
      </w:pPr>
    </w:p>
    <w:p w14:paraId="20D7C9BB" w14:textId="77777777" w:rsidR="001D7BC7" w:rsidRPr="005A006E" w:rsidRDefault="001D7BC7" w:rsidP="001D7BC7">
      <w:pPr>
        <w:spacing w:after="0" w:line="240" w:lineRule="auto"/>
        <w:rPr>
          <w:rFonts w:ascii="Times New Roman" w:hAnsi="Times New Roman" w:cs="Times New Roman"/>
          <w:sz w:val="20"/>
          <w:szCs w:val="20"/>
        </w:rPr>
      </w:pPr>
      <w:r w:rsidRPr="005A006E">
        <w:rPr>
          <w:rFonts w:ascii="Times New Roman" w:hAnsi="Times New Roman" w:cs="Times New Roman"/>
          <w:b/>
          <w:sz w:val="20"/>
          <w:szCs w:val="20"/>
        </w:rPr>
        <w:t>3</w:t>
      </w:r>
      <w:r w:rsidRPr="005A006E">
        <w:rPr>
          <w:rFonts w:ascii="Times New Roman" w:hAnsi="Times New Roman" w:cs="Times New Roman"/>
          <w:sz w:val="20"/>
          <w:szCs w:val="20"/>
        </w:rPr>
        <w:t>.</w:t>
      </w:r>
      <w:r w:rsidRPr="005A006E">
        <w:rPr>
          <w:rFonts w:ascii="Times New Roman" w:hAnsi="Times New Roman" w:cs="Times New Roman"/>
          <w:sz w:val="20"/>
          <w:szCs w:val="20"/>
        </w:rPr>
        <w:tab/>
      </w:r>
      <w:r w:rsidRPr="005A006E">
        <w:rPr>
          <w:rFonts w:ascii="Times New Roman" w:hAnsi="Times New Roman" w:cs="Times New Roman"/>
          <w:sz w:val="20"/>
          <w:szCs w:val="20"/>
          <w:u w:val="single"/>
        </w:rPr>
        <w:t>General Provisions</w:t>
      </w:r>
      <w:r w:rsidRPr="005A006E">
        <w:rPr>
          <w:rFonts w:ascii="Times New Roman" w:hAnsi="Times New Roman" w:cs="Times New Roman"/>
          <w:sz w:val="20"/>
          <w:szCs w:val="20"/>
        </w:rPr>
        <w:t>.  Except as expressly amended by this Amendment, the terms and conditions set forth in the DPA shall remain in full force and effect. In the event of any conflict between the DPA and this Amendment, the terms and conditions of this Amendment shall govern.</w:t>
      </w:r>
    </w:p>
    <w:p w14:paraId="1162C348" w14:textId="77777777" w:rsidR="001D7BC7" w:rsidRPr="005A006E" w:rsidRDefault="001D7BC7" w:rsidP="001D7BC7">
      <w:pPr>
        <w:spacing w:after="0" w:line="240" w:lineRule="auto"/>
        <w:jc w:val="both"/>
        <w:rPr>
          <w:rFonts w:ascii="Times New Roman" w:hAnsi="Times New Roman" w:cs="Times New Roman"/>
          <w:sz w:val="20"/>
          <w:szCs w:val="20"/>
        </w:rPr>
      </w:pPr>
    </w:p>
    <w:p w14:paraId="14EA6B6A" w14:textId="77777777" w:rsidR="001D7BC7" w:rsidRPr="005A006E" w:rsidRDefault="001D7BC7" w:rsidP="001D7BC7">
      <w:pPr>
        <w:pStyle w:val="TxBr2p6"/>
        <w:tabs>
          <w:tab w:val="clear" w:pos="368"/>
          <w:tab w:val="clear" w:pos="1031"/>
        </w:tabs>
        <w:spacing w:line="240" w:lineRule="auto"/>
        <w:ind w:left="0" w:right="-131" w:firstLine="0"/>
        <w:rPr>
          <w:sz w:val="20"/>
        </w:rPr>
      </w:pPr>
      <w:r w:rsidRPr="005A006E">
        <w:rPr>
          <w:b/>
          <w:sz w:val="20"/>
        </w:rPr>
        <w:t>4</w:t>
      </w:r>
      <w:r w:rsidRPr="005A006E">
        <w:rPr>
          <w:sz w:val="20"/>
        </w:rPr>
        <w:t xml:space="preserve"> </w:t>
      </w:r>
      <w:r w:rsidRPr="005A006E">
        <w:rPr>
          <w:sz w:val="20"/>
        </w:rPr>
        <w:tab/>
      </w:r>
      <w:r w:rsidRPr="005A006E">
        <w:rPr>
          <w:sz w:val="20"/>
          <w:u w:val="single"/>
        </w:rPr>
        <w:t>Counterparts</w:t>
      </w:r>
      <w:r w:rsidRPr="005A006E">
        <w:rPr>
          <w:sz w:val="20"/>
        </w:rPr>
        <w:t>.  This Amendment may be executed in any number of counterparts, each of which when so executed will be deemed an original, and all of which together, shall constitute one and the same agreement.  Signatures sent by facsimile or similar means (including scanned images of signatures forwarded by e-mail) shall have the same binding effect as original signatures.</w:t>
      </w:r>
    </w:p>
    <w:p w14:paraId="00277536" w14:textId="77777777" w:rsidR="001D7BC7" w:rsidRPr="005A006E" w:rsidRDefault="001D7BC7" w:rsidP="001D7BC7">
      <w:pPr>
        <w:spacing w:after="0" w:line="240" w:lineRule="auto"/>
        <w:jc w:val="center"/>
        <w:rPr>
          <w:rFonts w:ascii="Times New Roman" w:hAnsi="Times New Roman" w:cs="Times New Roman"/>
          <w:i/>
          <w:sz w:val="20"/>
          <w:szCs w:val="20"/>
        </w:rPr>
      </w:pPr>
    </w:p>
    <w:p w14:paraId="04C858D6" w14:textId="77777777" w:rsidR="001D7BC7" w:rsidRPr="005A006E" w:rsidRDefault="001D7BC7" w:rsidP="001D7BC7">
      <w:pPr>
        <w:spacing w:after="0" w:line="240" w:lineRule="auto"/>
        <w:jc w:val="both"/>
        <w:rPr>
          <w:rFonts w:ascii="Times New Roman" w:hAnsi="Times New Roman" w:cs="Times New Roman"/>
          <w:b/>
          <w:sz w:val="20"/>
          <w:szCs w:val="20"/>
        </w:rPr>
      </w:pPr>
    </w:p>
    <w:p w14:paraId="1504B069" w14:textId="77777777" w:rsidR="001D7BC7" w:rsidRPr="005A006E" w:rsidRDefault="001D7BC7" w:rsidP="001D7BC7">
      <w:pPr>
        <w:spacing w:after="0" w:line="240" w:lineRule="auto"/>
        <w:jc w:val="both"/>
        <w:rPr>
          <w:rFonts w:ascii="Times New Roman" w:hAnsi="Times New Roman" w:cs="Times New Roman"/>
          <w:b/>
          <w:sz w:val="20"/>
          <w:szCs w:val="20"/>
        </w:rPr>
      </w:pPr>
    </w:p>
    <w:p w14:paraId="6FF06380" w14:textId="77777777"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IN WITNESS WHEREOF</w:t>
      </w:r>
      <w:r w:rsidRPr="005A006E">
        <w:rPr>
          <w:rFonts w:ascii="Times New Roman" w:hAnsi="Times New Roman" w:cs="Times New Roman"/>
          <w:sz w:val="20"/>
          <w:szCs w:val="20"/>
        </w:rPr>
        <w:t>, the Parties hereto have executed this Amendment on the date specified below.</w:t>
      </w:r>
    </w:p>
    <w:p w14:paraId="742617BA" w14:textId="77777777" w:rsidR="001D7BC7" w:rsidRPr="005A006E" w:rsidRDefault="001D7BC7" w:rsidP="001D7BC7">
      <w:pPr>
        <w:spacing w:after="0" w:line="240" w:lineRule="auto"/>
        <w:jc w:val="both"/>
        <w:rPr>
          <w:rFonts w:ascii="Times New Roman" w:hAnsi="Times New Roman" w:cs="Times New Roman"/>
          <w:b/>
          <w:sz w:val="20"/>
          <w:szCs w:val="20"/>
        </w:rPr>
      </w:pPr>
    </w:p>
    <w:p w14:paraId="7469244B" w14:textId="6519D569"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b/>
          <w:sz w:val="20"/>
          <w:szCs w:val="20"/>
        </w:rPr>
        <w:t>CVENT, INC.</w:t>
      </w:r>
      <w:r w:rsidRPr="005A006E">
        <w:rPr>
          <w:rFonts w:ascii="Times New Roman" w:hAnsi="Times New Roman" w:cs="Times New Roman"/>
          <w:sz w:val="20"/>
          <w:szCs w:val="20"/>
        </w:rPr>
        <w:tab/>
      </w:r>
      <w:r w:rsidRPr="005A006E">
        <w:rPr>
          <w:rFonts w:ascii="Times New Roman" w:hAnsi="Times New Roman" w:cs="Times New Roman"/>
          <w:sz w:val="20"/>
          <w:szCs w:val="20"/>
        </w:rPr>
        <w:tab/>
      </w:r>
      <w:r w:rsidRPr="005A006E">
        <w:rPr>
          <w:rFonts w:ascii="Times New Roman" w:hAnsi="Times New Roman" w:cs="Times New Roman"/>
          <w:sz w:val="20"/>
          <w:szCs w:val="20"/>
        </w:rPr>
        <w:tab/>
      </w:r>
      <w:r w:rsidRPr="005A006E">
        <w:rPr>
          <w:rFonts w:ascii="Times New Roman" w:hAnsi="Times New Roman" w:cs="Times New Roman"/>
          <w:sz w:val="20"/>
          <w:szCs w:val="20"/>
        </w:rPr>
        <w:tab/>
      </w:r>
      <w:r w:rsidRPr="005A006E">
        <w:rPr>
          <w:rFonts w:ascii="Times New Roman" w:hAnsi="Times New Roman" w:cs="Times New Roman"/>
          <w:sz w:val="20"/>
          <w:szCs w:val="20"/>
        </w:rPr>
        <w:tab/>
      </w:r>
      <w:r w:rsidRPr="005A006E">
        <w:rPr>
          <w:rFonts w:ascii="Times New Roman" w:hAnsi="Times New Roman" w:cs="Times New Roman"/>
          <w:sz w:val="20"/>
          <w:szCs w:val="20"/>
        </w:rPr>
        <w:tab/>
      </w:r>
      <w:sdt>
        <w:sdtPr>
          <w:rPr>
            <w:rFonts w:ascii="Times New Roman" w:hAnsi="Times New Roman" w:cs="Times New Roman"/>
            <w:b/>
            <w:sz w:val="20"/>
            <w:szCs w:val="20"/>
          </w:rPr>
          <w:id w:val="-594634562"/>
          <w:placeholder>
            <w:docPart w:val="417416E839DD4ABFB16C3A37557F5BCA"/>
          </w:placeholder>
          <w:text/>
        </w:sdtPr>
        <w:sdtEndPr/>
        <w:sdtContent>
          <w:r w:rsidRPr="005A006E">
            <w:rPr>
              <w:rFonts w:ascii="Times New Roman" w:hAnsi="Times New Roman" w:cs="Times New Roman"/>
              <w:b/>
              <w:sz w:val="20"/>
              <w:szCs w:val="20"/>
            </w:rPr>
            <w:t>[</w:t>
          </w:r>
          <w:r w:rsidR="007D0860">
            <w:rPr>
              <w:rFonts w:ascii="Times New Roman" w:hAnsi="Times New Roman" w:cs="Times New Roman"/>
              <w:b/>
              <w:sz w:val="20"/>
              <w:szCs w:val="20"/>
            </w:rPr>
            <w:t>Customer</w:t>
          </w:r>
          <w:r w:rsidRPr="005A006E">
            <w:rPr>
              <w:rFonts w:ascii="Times New Roman" w:hAnsi="Times New Roman" w:cs="Times New Roman"/>
              <w:b/>
              <w:sz w:val="20"/>
              <w:szCs w:val="20"/>
            </w:rPr>
            <w:t>]</w:t>
          </w:r>
        </w:sdtContent>
      </w:sdt>
    </w:p>
    <w:p w14:paraId="00A2367A" w14:textId="0402D7B5" w:rsidR="001D7BC7" w:rsidRPr="005A006E" w:rsidRDefault="001D7BC7" w:rsidP="001D7BC7">
      <w:pPr>
        <w:spacing w:after="0" w:line="240" w:lineRule="auto"/>
        <w:jc w:val="both"/>
        <w:rPr>
          <w:rFonts w:ascii="Times New Roman" w:hAnsi="Times New Roman" w:cs="Times New Roman"/>
          <w:sz w:val="20"/>
          <w:szCs w:val="20"/>
        </w:rPr>
      </w:pPr>
      <w:r w:rsidRPr="000B7A1B">
        <w:rPr>
          <w:rFonts w:ascii="Times New Roman" w:hAnsi="Times New Roman"/>
          <w:noProof/>
          <w:sz w:val="16"/>
          <w:szCs w:val="16"/>
        </w:rPr>
        <w:drawing>
          <wp:anchor distT="0" distB="0" distL="114300" distR="114300" simplePos="0" relativeHeight="251658240" behindDoc="0" locked="0" layoutInCell="1" allowOverlap="1" wp14:anchorId="202FE8F7" wp14:editId="706DC2B2">
            <wp:simplePos x="0" y="0"/>
            <wp:positionH relativeFrom="column">
              <wp:posOffset>628726</wp:posOffset>
            </wp:positionH>
            <wp:positionV relativeFrom="paragraph">
              <wp:posOffset>191770</wp:posOffset>
            </wp:positionV>
            <wp:extent cx="1688465" cy="327025"/>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88465" cy="327025"/>
                    </a:xfrm>
                    <a:prstGeom prst="rect">
                      <a:avLst/>
                    </a:prstGeom>
                    <a:noFill/>
                  </pic:spPr>
                </pic:pic>
              </a:graphicData>
            </a:graphic>
          </wp:anchor>
        </w:drawing>
      </w:r>
    </w:p>
    <w:p w14:paraId="6A10A914" w14:textId="678270F0" w:rsidR="001D7BC7" w:rsidRPr="005A006E" w:rsidRDefault="001D7BC7" w:rsidP="001D7BC7">
      <w:pPr>
        <w:spacing w:after="0" w:line="192" w:lineRule="auto"/>
        <w:jc w:val="both"/>
        <w:rPr>
          <w:rFonts w:ascii="Times New Roman" w:hAnsi="Times New Roman" w:cs="Times New Roman"/>
          <w:sz w:val="20"/>
          <w:szCs w:val="20"/>
          <w:u w:val="single"/>
        </w:rPr>
      </w:pPr>
      <w:r w:rsidRPr="005A006E">
        <w:rPr>
          <w:rFonts w:ascii="Times New Roman" w:hAnsi="Times New Roman" w:cs="Times New Roman"/>
          <w:sz w:val="20"/>
          <w:szCs w:val="20"/>
        </w:rPr>
        <w:t xml:space="preserve">Signature: </w:t>
      </w:r>
      <w:bookmarkStart w:id="6" w:name="_Hlk496275717"/>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bookmarkEnd w:id="6"/>
      <w:r w:rsidRPr="005A006E">
        <w:rPr>
          <w:rFonts w:ascii="Times New Roman" w:hAnsi="Times New Roman" w:cs="Times New Roman"/>
          <w:sz w:val="20"/>
          <w:szCs w:val="20"/>
        </w:rPr>
        <w:tab/>
        <w:t>Signature:</w:t>
      </w:r>
      <w:r w:rsidRPr="005A006E">
        <w:rPr>
          <w:rFonts w:ascii="Times New Roman" w:hAnsi="Times New Roman" w:cs="Times New Roman"/>
          <w:sz w:val="20"/>
          <w:szCs w:val="20"/>
          <w:u w:val="single"/>
        </w:rPr>
        <w:t xml:space="preserve"> </w:t>
      </w:r>
      <w:r w:rsidRPr="005A006E">
        <w:rPr>
          <w:rFonts w:ascii="Times New Roman" w:hAnsi="Times New Roman" w:cs="Times New Roman"/>
          <w:sz w:val="20"/>
          <w:szCs w:val="20"/>
          <w:u w:val="single"/>
        </w:rPr>
        <w:tab/>
      </w:r>
      <w:r w:rsidR="008C531A">
        <w:rPr>
          <w:rFonts w:ascii="Times New Roman" w:hAnsi="Times New Roman" w:cs="Times New Roman"/>
          <w:sz w:val="20"/>
          <w:szCs w:val="20"/>
          <w:u w:val="single"/>
        </w:rPr>
        <w:fldChar w:fldCharType="begin">
          <w:ffData>
            <w:name w:val="Text17"/>
            <w:enabled/>
            <w:calcOnExit w:val="0"/>
            <w:textInput/>
          </w:ffData>
        </w:fldChar>
      </w:r>
      <w:bookmarkStart w:id="7" w:name="Text17"/>
      <w:r w:rsidR="008C531A">
        <w:rPr>
          <w:rFonts w:ascii="Times New Roman" w:hAnsi="Times New Roman" w:cs="Times New Roman"/>
          <w:sz w:val="20"/>
          <w:szCs w:val="20"/>
          <w:u w:val="single"/>
        </w:rPr>
        <w:instrText xml:space="preserve"> FORMTEXT </w:instrText>
      </w:r>
      <w:r w:rsidR="008C531A">
        <w:rPr>
          <w:rFonts w:ascii="Times New Roman" w:hAnsi="Times New Roman" w:cs="Times New Roman"/>
          <w:sz w:val="20"/>
          <w:szCs w:val="20"/>
          <w:u w:val="single"/>
        </w:rPr>
      </w:r>
      <w:r w:rsidR="008C531A">
        <w:rPr>
          <w:rFonts w:ascii="Times New Roman" w:hAnsi="Times New Roman" w:cs="Times New Roman"/>
          <w:sz w:val="20"/>
          <w:szCs w:val="20"/>
          <w:u w:val="single"/>
        </w:rPr>
        <w:fldChar w:fldCharType="separate"/>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sz w:val="20"/>
          <w:szCs w:val="20"/>
          <w:u w:val="single"/>
        </w:rPr>
        <w:fldChar w:fldCharType="end"/>
      </w:r>
      <w:bookmarkEnd w:id="7"/>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p>
    <w:p w14:paraId="1C335E67" w14:textId="77777777" w:rsidR="001D7BC7" w:rsidRPr="005A006E" w:rsidRDefault="001D7BC7" w:rsidP="001D7BC7">
      <w:pPr>
        <w:spacing w:after="0" w:line="240" w:lineRule="auto"/>
        <w:jc w:val="both"/>
        <w:rPr>
          <w:rFonts w:ascii="Times New Roman" w:hAnsi="Times New Roman" w:cs="Times New Roman"/>
          <w:sz w:val="20"/>
          <w:szCs w:val="20"/>
        </w:rPr>
      </w:pPr>
    </w:p>
    <w:p w14:paraId="79B95734" w14:textId="06B2F122" w:rsidR="001D7BC7" w:rsidRPr="005A006E" w:rsidRDefault="001D7BC7" w:rsidP="001D7BC7">
      <w:pPr>
        <w:spacing w:after="0" w:line="240" w:lineRule="auto"/>
        <w:rPr>
          <w:rFonts w:ascii="Times New Roman" w:hAnsi="Times New Roman" w:cs="Times New Roman"/>
          <w:sz w:val="20"/>
          <w:szCs w:val="20"/>
        </w:rPr>
      </w:pPr>
      <w:r w:rsidRPr="005A006E">
        <w:rPr>
          <w:rFonts w:ascii="Times New Roman" w:hAnsi="Times New Roman" w:cs="Times New Roman"/>
          <w:sz w:val="20"/>
          <w:szCs w:val="20"/>
        </w:rPr>
        <w:t xml:space="preserve">Printed Name: </w:t>
      </w:r>
      <w:r w:rsidRPr="005A006E">
        <w:rPr>
          <w:rFonts w:ascii="Times New Roman" w:hAnsi="Times New Roman" w:cs="Times New Roman"/>
          <w:sz w:val="20"/>
          <w:szCs w:val="20"/>
          <w:u w:val="single"/>
        </w:rPr>
        <w:tab/>
      </w:r>
      <w:r>
        <w:rPr>
          <w:rFonts w:ascii="Times New Roman" w:hAnsi="Times New Roman" w:cs="Times New Roman"/>
          <w:sz w:val="20"/>
          <w:szCs w:val="20"/>
          <w:u w:val="single"/>
        </w:rPr>
        <w:t>Edwin Y. Szeto</w:t>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rPr>
        <w:tab/>
        <w:t xml:space="preserve">Printed Name: </w:t>
      </w:r>
      <w:r w:rsidRPr="005A006E">
        <w:rPr>
          <w:rFonts w:ascii="Times New Roman" w:hAnsi="Times New Roman" w:cs="Times New Roman"/>
          <w:sz w:val="20"/>
          <w:szCs w:val="20"/>
          <w:u w:val="single"/>
        </w:rPr>
        <w:tab/>
      </w:r>
      <w:r w:rsidR="008C531A">
        <w:rPr>
          <w:rFonts w:ascii="Times New Roman" w:hAnsi="Times New Roman" w:cs="Times New Roman"/>
          <w:sz w:val="20"/>
          <w:szCs w:val="20"/>
          <w:u w:val="single"/>
        </w:rPr>
        <w:fldChar w:fldCharType="begin">
          <w:ffData>
            <w:name w:val="Text18"/>
            <w:enabled/>
            <w:calcOnExit w:val="0"/>
            <w:textInput/>
          </w:ffData>
        </w:fldChar>
      </w:r>
      <w:bookmarkStart w:id="8" w:name="Text18"/>
      <w:r w:rsidR="008C531A">
        <w:rPr>
          <w:rFonts w:ascii="Times New Roman" w:hAnsi="Times New Roman" w:cs="Times New Roman"/>
          <w:sz w:val="20"/>
          <w:szCs w:val="20"/>
          <w:u w:val="single"/>
        </w:rPr>
        <w:instrText xml:space="preserve"> FORMTEXT </w:instrText>
      </w:r>
      <w:r w:rsidR="008C531A">
        <w:rPr>
          <w:rFonts w:ascii="Times New Roman" w:hAnsi="Times New Roman" w:cs="Times New Roman"/>
          <w:sz w:val="20"/>
          <w:szCs w:val="20"/>
          <w:u w:val="single"/>
        </w:rPr>
      </w:r>
      <w:r w:rsidR="008C531A">
        <w:rPr>
          <w:rFonts w:ascii="Times New Roman" w:hAnsi="Times New Roman" w:cs="Times New Roman"/>
          <w:sz w:val="20"/>
          <w:szCs w:val="20"/>
          <w:u w:val="single"/>
        </w:rPr>
        <w:fldChar w:fldCharType="separate"/>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sz w:val="20"/>
          <w:szCs w:val="20"/>
          <w:u w:val="single"/>
        </w:rPr>
        <w:fldChar w:fldCharType="end"/>
      </w:r>
      <w:bookmarkEnd w:id="8"/>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p>
    <w:p w14:paraId="56535229" w14:textId="77777777" w:rsidR="001D7BC7" w:rsidRDefault="001D7BC7" w:rsidP="001D7BC7">
      <w:pPr>
        <w:spacing w:after="0" w:line="240" w:lineRule="auto"/>
        <w:jc w:val="both"/>
        <w:rPr>
          <w:rFonts w:ascii="Times New Roman" w:hAnsi="Times New Roman" w:cs="Times New Roman"/>
          <w:sz w:val="20"/>
          <w:szCs w:val="20"/>
        </w:rPr>
      </w:pPr>
    </w:p>
    <w:p w14:paraId="5583DADD" w14:textId="6F714088"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sz w:val="20"/>
          <w:szCs w:val="20"/>
        </w:rPr>
        <w:t xml:space="preserve">Title: </w:t>
      </w:r>
      <w:r w:rsidRPr="005A006E">
        <w:rPr>
          <w:rFonts w:ascii="Times New Roman" w:hAnsi="Times New Roman" w:cs="Times New Roman"/>
          <w:sz w:val="20"/>
          <w:szCs w:val="20"/>
          <w:u w:val="single"/>
        </w:rPr>
        <w:tab/>
      </w:r>
      <w:r>
        <w:rPr>
          <w:rFonts w:ascii="Times New Roman" w:hAnsi="Times New Roman" w:cs="Times New Roman"/>
          <w:sz w:val="20"/>
          <w:szCs w:val="20"/>
          <w:u w:val="single"/>
        </w:rPr>
        <w:t>Vice President &amp; Deputy General Counsel</w:t>
      </w:r>
      <w:r w:rsidRPr="005A006E">
        <w:rPr>
          <w:rFonts w:ascii="Times New Roman" w:hAnsi="Times New Roman" w:cs="Times New Roman"/>
          <w:sz w:val="20"/>
          <w:szCs w:val="20"/>
          <w:u w:val="single"/>
        </w:rPr>
        <w:tab/>
      </w:r>
      <w:r w:rsidRPr="005A006E">
        <w:rPr>
          <w:rFonts w:ascii="Times New Roman" w:hAnsi="Times New Roman" w:cs="Times New Roman"/>
          <w:sz w:val="20"/>
          <w:szCs w:val="20"/>
        </w:rPr>
        <w:tab/>
        <w:t xml:space="preserve">Title: </w:t>
      </w:r>
      <w:r w:rsidRPr="005A006E">
        <w:rPr>
          <w:rFonts w:ascii="Times New Roman" w:hAnsi="Times New Roman" w:cs="Times New Roman"/>
          <w:sz w:val="20"/>
          <w:szCs w:val="20"/>
          <w:u w:val="single"/>
        </w:rPr>
        <w:tab/>
      </w:r>
      <w:r w:rsidR="008C531A">
        <w:rPr>
          <w:rFonts w:ascii="Times New Roman" w:hAnsi="Times New Roman" w:cs="Times New Roman"/>
          <w:sz w:val="20"/>
          <w:szCs w:val="20"/>
          <w:u w:val="single"/>
        </w:rPr>
        <w:fldChar w:fldCharType="begin">
          <w:ffData>
            <w:name w:val="Text19"/>
            <w:enabled/>
            <w:calcOnExit w:val="0"/>
            <w:textInput/>
          </w:ffData>
        </w:fldChar>
      </w:r>
      <w:bookmarkStart w:id="9" w:name="Text19"/>
      <w:r w:rsidR="008C531A">
        <w:rPr>
          <w:rFonts w:ascii="Times New Roman" w:hAnsi="Times New Roman" w:cs="Times New Roman"/>
          <w:sz w:val="20"/>
          <w:szCs w:val="20"/>
          <w:u w:val="single"/>
        </w:rPr>
        <w:instrText xml:space="preserve"> FORMTEXT </w:instrText>
      </w:r>
      <w:r w:rsidR="008C531A">
        <w:rPr>
          <w:rFonts w:ascii="Times New Roman" w:hAnsi="Times New Roman" w:cs="Times New Roman"/>
          <w:sz w:val="20"/>
          <w:szCs w:val="20"/>
          <w:u w:val="single"/>
        </w:rPr>
      </w:r>
      <w:r w:rsidR="008C531A">
        <w:rPr>
          <w:rFonts w:ascii="Times New Roman" w:hAnsi="Times New Roman" w:cs="Times New Roman"/>
          <w:sz w:val="20"/>
          <w:szCs w:val="20"/>
          <w:u w:val="single"/>
        </w:rPr>
        <w:fldChar w:fldCharType="separate"/>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sz w:val="20"/>
          <w:szCs w:val="20"/>
          <w:u w:val="single"/>
        </w:rPr>
        <w:fldChar w:fldCharType="end"/>
      </w:r>
      <w:bookmarkEnd w:id="9"/>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p>
    <w:p w14:paraId="3E7046AC" w14:textId="77777777" w:rsidR="001D7BC7" w:rsidRPr="005A006E" w:rsidRDefault="001D7BC7" w:rsidP="001D7BC7">
      <w:pPr>
        <w:spacing w:after="0" w:line="240" w:lineRule="auto"/>
        <w:jc w:val="both"/>
        <w:rPr>
          <w:rFonts w:ascii="Times New Roman" w:hAnsi="Times New Roman" w:cs="Times New Roman"/>
          <w:sz w:val="20"/>
          <w:szCs w:val="20"/>
        </w:rPr>
      </w:pPr>
    </w:p>
    <w:p w14:paraId="74540E05" w14:textId="41D1593A" w:rsidR="001D7BC7" w:rsidRPr="005A006E" w:rsidRDefault="001D7BC7" w:rsidP="001D7BC7">
      <w:pPr>
        <w:spacing w:after="0" w:line="240" w:lineRule="auto"/>
        <w:jc w:val="both"/>
        <w:rPr>
          <w:rFonts w:ascii="Times New Roman" w:hAnsi="Times New Roman" w:cs="Times New Roman"/>
          <w:sz w:val="20"/>
          <w:szCs w:val="20"/>
        </w:rPr>
      </w:pPr>
      <w:r w:rsidRPr="005A006E">
        <w:rPr>
          <w:rFonts w:ascii="Times New Roman" w:hAnsi="Times New Roman" w:cs="Times New Roman"/>
          <w:sz w:val="20"/>
          <w:szCs w:val="20"/>
        </w:rPr>
        <w:t xml:space="preserve">Date: </w:t>
      </w:r>
      <w:r w:rsidRPr="005A006E">
        <w:rPr>
          <w:rFonts w:ascii="Times New Roman" w:hAnsi="Times New Roman" w:cs="Times New Roman"/>
          <w:sz w:val="20"/>
          <w:szCs w:val="20"/>
          <w:u w:val="single"/>
        </w:rPr>
        <w:tab/>
      </w:r>
      <w:r>
        <w:rPr>
          <w:rFonts w:ascii="Times New Roman" w:hAnsi="Times New Roman" w:cs="Times New Roman"/>
          <w:sz w:val="20"/>
          <w:szCs w:val="20"/>
          <w:u w:val="single"/>
        </w:rPr>
        <w:t>April 11</w:t>
      </w:r>
      <w:r w:rsidRPr="001D7BC7">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2022</w:t>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rPr>
        <w:tab/>
        <w:t xml:space="preserve">Date: </w:t>
      </w:r>
      <w:r w:rsidRPr="005A006E">
        <w:rPr>
          <w:rFonts w:ascii="Times New Roman" w:hAnsi="Times New Roman" w:cs="Times New Roman"/>
          <w:sz w:val="20"/>
          <w:szCs w:val="20"/>
          <w:u w:val="single"/>
        </w:rPr>
        <w:tab/>
      </w:r>
      <w:r w:rsidR="008C531A">
        <w:rPr>
          <w:rFonts w:ascii="Times New Roman" w:hAnsi="Times New Roman" w:cs="Times New Roman"/>
          <w:sz w:val="20"/>
          <w:szCs w:val="20"/>
          <w:u w:val="single"/>
        </w:rPr>
        <w:fldChar w:fldCharType="begin">
          <w:ffData>
            <w:name w:val="Text20"/>
            <w:enabled/>
            <w:calcOnExit w:val="0"/>
            <w:textInput/>
          </w:ffData>
        </w:fldChar>
      </w:r>
      <w:bookmarkStart w:id="10" w:name="Text20"/>
      <w:r w:rsidR="008C531A">
        <w:rPr>
          <w:rFonts w:ascii="Times New Roman" w:hAnsi="Times New Roman" w:cs="Times New Roman"/>
          <w:sz w:val="20"/>
          <w:szCs w:val="20"/>
          <w:u w:val="single"/>
        </w:rPr>
        <w:instrText xml:space="preserve"> FORMTEXT </w:instrText>
      </w:r>
      <w:r w:rsidR="008C531A">
        <w:rPr>
          <w:rFonts w:ascii="Times New Roman" w:hAnsi="Times New Roman" w:cs="Times New Roman"/>
          <w:sz w:val="20"/>
          <w:szCs w:val="20"/>
          <w:u w:val="single"/>
        </w:rPr>
      </w:r>
      <w:r w:rsidR="008C531A">
        <w:rPr>
          <w:rFonts w:ascii="Times New Roman" w:hAnsi="Times New Roman" w:cs="Times New Roman"/>
          <w:sz w:val="20"/>
          <w:szCs w:val="20"/>
          <w:u w:val="single"/>
        </w:rPr>
        <w:fldChar w:fldCharType="separate"/>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noProof/>
          <w:sz w:val="20"/>
          <w:szCs w:val="20"/>
          <w:u w:val="single"/>
        </w:rPr>
        <w:t> </w:t>
      </w:r>
      <w:r w:rsidR="008C531A">
        <w:rPr>
          <w:rFonts w:ascii="Times New Roman" w:hAnsi="Times New Roman" w:cs="Times New Roman"/>
          <w:sz w:val="20"/>
          <w:szCs w:val="20"/>
          <w:u w:val="single"/>
        </w:rPr>
        <w:fldChar w:fldCharType="end"/>
      </w:r>
      <w:bookmarkEnd w:id="10"/>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r w:rsidRPr="005A006E">
        <w:rPr>
          <w:rFonts w:ascii="Times New Roman" w:hAnsi="Times New Roman" w:cs="Times New Roman"/>
          <w:sz w:val="20"/>
          <w:szCs w:val="20"/>
          <w:u w:val="single"/>
        </w:rPr>
        <w:tab/>
      </w:r>
    </w:p>
    <w:p w14:paraId="57AAD857" w14:textId="77777777" w:rsidR="001D7BC7" w:rsidRPr="005A006E" w:rsidRDefault="001D7BC7" w:rsidP="001D7BC7">
      <w:pPr>
        <w:spacing w:after="0" w:line="240" w:lineRule="auto"/>
        <w:jc w:val="both"/>
        <w:rPr>
          <w:rFonts w:ascii="Times New Roman" w:hAnsi="Times New Roman" w:cs="Times New Roman"/>
          <w:sz w:val="20"/>
          <w:szCs w:val="20"/>
        </w:rPr>
      </w:pPr>
    </w:p>
    <w:p w14:paraId="503A6BA1" w14:textId="77777777" w:rsidR="001D7BC7" w:rsidRPr="005A006E" w:rsidRDefault="001D7BC7" w:rsidP="001D7BC7">
      <w:pPr>
        <w:spacing w:after="0" w:line="240" w:lineRule="auto"/>
        <w:jc w:val="both"/>
        <w:rPr>
          <w:rFonts w:ascii="Times New Roman" w:hAnsi="Times New Roman" w:cs="Times New Roman"/>
          <w:sz w:val="20"/>
          <w:szCs w:val="20"/>
        </w:rPr>
      </w:pPr>
    </w:p>
    <w:p w14:paraId="6C3FDA26" w14:textId="77777777" w:rsidR="001D7BC7" w:rsidRPr="005A006E" w:rsidRDefault="001D7BC7" w:rsidP="001D7BC7">
      <w:pPr>
        <w:spacing w:after="0" w:line="240" w:lineRule="auto"/>
        <w:jc w:val="both"/>
        <w:rPr>
          <w:rFonts w:ascii="Times New Roman" w:hAnsi="Times New Roman" w:cs="Times New Roman"/>
          <w:sz w:val="20"/>
          <w:szCs w:val="20"/>
        </w:rPr>
      </w:pPr>
    </w:p>
    <w:p w14:paraId="68A0DBC3" w14:textId="77777777" w:rsidR="001D7BC7" w:rsidRPr="005A006E" w:rsidRDefault="001D7BC7" w:rsidP="001D7BC7">
      <w:pPr>
        <w:spacing w:after="0" w:line="240" w:lineRule="auto"/>
        <w:rPr>
          <w:rFonts w:ascii="Times New Roman" w:hAnsi="Times New Roman" w:cs="Times New Roman"/>
          <w:sz w:val="20"/>
          <w:szCs w:val="20"/>
        </w:rPr>
      </w:pPr>
      <w:r w:rsidRPr="005A006E">
        <w:rPr>
          <w:rFonts w:ascii="Times New Roman" w:hAnsi="Times New Roman" w:cs="Times New Roman"/>
          <w:sz w:val="20"/>
          <w:szCs w:val="20"/>
        </w:rPr>
        <w:br w:type="page"/>
      </w:r>
    </w:p>
    <w:p w14:paraId="7E1BC0B2" w14:textId="77777777" w:rsidR="001D7BC7"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Attachment 1: “EU Standard Contractual Clauses”</w:t>
      </w:r>
    </w:p>
    <w:p w14:paraId="09BC6C58" w14:textId="77777777" w:rsidR="001D7BC7" w:rsidRDefault="00143C8B"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pict w14:anchorId="056B3A0D">
          <v:rect id="_x0000_i1025" style="width:463pt;height:1pt" o:hrpct="0" o:hralign="center" o:hrstd="t" o:hrnoshade="t" o:hr="t" fillcolor="black" stroked="f"/>
        </w:pict>
      </w:r>
    </w:p>
    <w:p w14:paraId="1C95333A" w14:textId="77777777" w:rsidR="001D7BC7"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COMMISSION IMPLEMENTNG DECISION (EU) 2021/914 of 4 June 2021 on</w:t>
      </w:r>
    </w:p>
    <w:p w14:paraId="22DB07F2" w14:textId="77777777" w:rsidR="001D7BC7"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STANDARD CONTRACTUAL CLAUSES</w:t>
      </w:r>
    </w:p>
    <w:p w14:paraId="47CC9A84" w14:textId="77777777" w:rsidR="001D7BC7"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for the transfer of personal data to third countries pursuant to Regulation (EU) 2016/679 of the European Parliament and of the Council</w:t>
      </w:r>
    </w:p>
    <w:p w14:paraId="0F509E5C"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ANNEX</w:t>
      </w:r>
    </w:p>
    <w:p w14:paraId="22D7F22F"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SECTION I</w:t>
      </w:r>
    </w:p>
    <w:p w14:paraId="5172C8D8"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w:t>
      </w:r>
    </w:p>
    <w:p w14:paraId="3B8FE328"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Purpose and scope</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9AB3CD8" w14:textId="77777777" w:rsidTr="00882CDE">
        <w:tc>
          <w:tcPr>
            <w:tcW w:w="0" w:type="auto"/>
            <w:shd w:val="clear" w:color="auto" w:fill="auto"/>
            <w:hideMark/>
          </w:tcPr>
          <w:p w14:paraId="1A0A437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16CAB5C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hyperlink r:id="rId6" w:anchor="ntr1-L_2021199EN.01003701-E0001" w:history="1">
              <w:r w:rsidRPr="005A006E">
                <w:rPr>
                  <w:rFonts w:ascii="Times New Roman" w:eastAsia="Times New Roman" w:hAnsi="Times New Roman" w:cs="Times New Roman"/>
                  <w:color w:val="3366CC"/>
                  <w:sz w:val="20"/>
                  <w:szCs w:val="20"/>
                </w:rPr>
                <w:t>(</w:t>
              </w:r>
              <w:r w:rsidRPr="005A006E">
                <w:rPr>
                  <w:rFonts w:ascii="Times New Roman" w:eastAsia="Times New Roman" w:hAnsi="Times New Roman" w:cs="Times New Roman"/>
                  <w:color w:val="3366CC"/>
                  <w:sz w:val="20"/>
                  <w:szCs w:val="20"/>
                  <w:vertAlign w:val="superscript"/>
                </w:rPr>
                <w:t>1</w:t>
              </w:r>
              <w:r w:rsidRPr="005A006E">
                <w:rPr>
                  <w:rFonts w:ascii="Times New Roman" w:eastAsia="Times New Roman" w:hAnsi="Times New Roman" w:cs="Times New Roman"/>
                  <w:color w:val="3366CC"/>
                  <w:sz w:val="20"/>
                  <w:szCs w:val="20"/>
                </w:rPr>
                <w:t>)</w:t>
              </w:r>
            </w:hyperlink>
            <w:r w:rsidRPr="005A006E">
              <w:rPr>
                <w:rFonts w:ascii="Times New Roman" w:eastAsia="Times New Roman" w:hAnsi="Times New Roman" w:cs="Times New Roman"/>
                <w:sz w:val="20"/>
                <w:szCs w:val="20"/>
              </w:rPr>
              <w:t> for the transfer of personal data to a third country.</w:t>
            </w:r>
          </w:p>
        </w:tc>
      </w:tr>
    </w:tbl>
    <w:p w14:paraId="394A303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79456D8" w14:textId="77777777" w:rsidTr="00882CDE">
        <w:tc>
          <w:tcPr>
            <w:tcW w:w="0" w:type="auto"/>
            <w:shd w:val="clear" w:color="auto" w:fill="auto"/>
            <w:hideMark/>
          </w:tcPr>
          <w:p w14:paraId="6E2890A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254285B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w:t>
            </w:r>
          </w:p>
          <w:tbl>
            <w:tblPr>
              <w:tblW w:w="5000" w:type="pct"/>
              <w:tblCellMar>
                <w:left w:w="0" w:type="dxa"/>
                <w:right w:w="0" w:type="dxa"/>
              </w:tblCellMar>
              <w:tblLook w:val="04A0" w:firstRow="1" w:lastRow="0" w:firstColumn="1" w:lastColumn="0" w:noHBand="0" w:noVBand="1"/>
            </w:tblPr>
            <w:tblGrid>
              <w:gridCol w:w="369"/>
              <w:gridCol w:w="8577"/>
            </w:tblGrid>
            <w:tr w:rsidR="001D7BC7" w:rsidRPr="005A006E" w14:paraId="7F73F4AE" w14:textId="77777777" w:rsidTr="00882CDE">
              <w:tc>
                <w:tcPr>
                  <w:tcW w:w="0" w:type="auto"/>
                  <w:shd w:val="clear" w:color="auto" w:fill="auto"/>
                  <w:hideMark/>
                </w:tcPr>
                <w:p w14:paraId="041009D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7656EAA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natural or legal person(s), public authority/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agency/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or other body/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(hereinafter ‘entity/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transferring the personal data, as listed in Annex I.A (hereinafter each ‘data exporter’), and</w:t>
                  </w:r>
                </w:p>
              </w:tc>
            </w:tr>
          </w:tbl>
          <w:p w14:paraId="1E7EC175"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425"/>
              <w:gridCol w:w="8521"/>
            </w:tblGrid>
            <w:tr w:rsidR="001D7BC7" w:rsidRPr="005A006E" w14:paraId="3A8805BC" w14:textId="77777777" w:rsidTr="00882CDE">
              <w:tc>
                <w:tcPr>
                  <w:tcW w:w="0" w:type="auto"/>
                  <w:shd w:val="clear" w:color="auto" w:fill="auto"/>
                  <w:hideMark/>
                </w:tcPr>
                <w:p w14:paraId="7FD05DE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77B01E5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entity/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in a third country receiving the personal data from the data exporter, directly or indirectly via another entity also Party to these Clauses, as listed in Annex I.A (hereinafter each ‘data importer’)</w:t>
                  </w:r>
                </w:p>
              </w:tc>
            </w:tr>
          </w:tbl>
          <w:p w14:paraId="0F50BDF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have agreed to these standard contractual clauses (hereinafter: ‘Clauses’).</w:t>
            </w:r>
          </w:p>
        </w:tc>
      </w:tr>
    </w:tbl>
    <w:p w14:paraId="00D45318"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78"/>
        <w:gridCol w:w="8882"/>
      </w:tblGrid>
      <w:tr w:rsidR="001D7BC7" w:rsidRPr="005A006E" w14:paraId="7FC30F74" w14:textId="77777777" w:rsidTr="00882CDE">
        <w:tc>
          <w:tcPr>
            <w:tcW w:w="0" w:type="auto"/>
            <w:shd w:val="clear" w:color="auto" w:fill="auto"/>
            <w:hideMark/>
          </w:tcPr>
          <w:p w14:paraId="6C84832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32A85B4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These Clauses apply with respect to the transfer of personal data as specified in Annex I.B.</w:t>
            </w:r>
          </w:p>
        </w:tc>
      </w:tr>
    </w:tbl>
    <w:p w14:paraId="7934D2B8"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7EFE0F2A" w14:textId="77777777" w:rsidTr="00882CDE">
        <w:tc>
          <w:tcPr>
            <w:tcW w:w="0" w:type="auto"/>
            <w:shd w:val="clear" w:color="auto" w:fill="auto"/>
            <w:hideMark/>
          </w:tcPr>
          <w:p w14:paraId="7A84C72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52D98CD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Appendix to these Clauses containing the Annexes referred to therein forms an integral part of these Clauses.</w:t>
            </w:r>
          </w:p>
        </w:tc>
      </w:tr>
    </w:tbl>
    <w:p w14:paraId="7398BB63"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2</w:t>
      </w:r>
    </w:p>
    <w:p w14:paraId="4559ABFE"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Effect and invariability of the Clauses</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385D333" w14:textId="77777777" w:rsidTr="00882CDE">
        <w:tc>
          <w:tcPr>
            <w:tcW w:w="0" w:type="auto"/>
            <w:shd w:val="clear" w:color="auto" w:fill="auto"/>
            <w:hideMark/>
          </w:tcPr>
          <w:p w14:paraId="1C27FFD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458DFF3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tc>
      </w:tr>
    </w:tbl>
    <w:p w14:paraId="70043805"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D2A48DF" w14:textId="77777777" w:rsidTr="00882CDE">
        <w:tc>
          <w:tcPr>
            <w:tcW w:w="0" w:type="auto"/>
            <w:shd w:val="clear" w:color="auto" w:fill="auto"/>
            <w:hideMark/>
          </w:tcPr>
          <w:p w14:paraId="6CE6189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524B488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These Clauses are without prejudice to obligations to which the data exporter is subject by virtue of Regulation (EU) 2016/679.</w:t>
            </w:r>
          </w:p>
        </w:tc>
      </w:tr>
    </w:tbl>
    <w:p w14:paraId="4A3A6715"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lastRenderedPageBreak/>
        <w:t>Clause 3</w:t>
      </w:r>
    </w:p>
    <w:p w14:paraId="3D9162D3" w14:textId="77777777" w:rsidR="001D7BC7" w:rsidRPr="005A006E" w:rsidRDefault="001D7BC7" w:rsidP="001D7BC7">
      <w:pPr>
        <w:shd w:val="clear" w:color="auto" w:fill="FFFFFF"/>
        <w:spacing w:after="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Third-party beneficiaries</w:t>
      </w:r>
    </w:p>
    <w:p w14:paraId="0D891C76" w14:textId="77777777" w:rsidR="001D7BC7" w:rsidRPr="005A006E" w:rsidRDefault="001D7BC7" w:rsidP="001D7BC7">
      <w:pPr>
        <w:shd w:val="clear" w:color="auto" w:fill="FFFFFF"/>
        <w:spacing w:after="0" w:line="240" w:lineRule="auto"/>
        <w:jc w:val="both"/>
        <w:rPr>
          <w:rFonts w:ascii="Times New Roman" w:eastAsia="Times New Roman" w:hAnsi="Times New Roman" w:cs="Times New Roman"/>
          <w:color w:val="000000"/>
          <w:sz w:val="20"/>
          <w:szCs w:val="20"/>
        </w:rPr>
      </w:pPr>
    </w:p>
    <w:p w14:paraId="60158C3E" w14:textId="77777777" w:rsidR="001D7BC7" w:rsidRPr="005A006E" w:rsidRDefault="001D7BC7" w:rsidP="001D7BC7">
      <w:pPr>
        <w:pStyle w:val="ListParagraph"/>
        <w:numPr>
          <w:ilvl w:val="0"/>
          <w:numId w:val="2"/>
        </w:numPr>
        <w:shd w:val="clear" w:color="auto" w:fill="FFFFFF"/>
        <w:spacing w:after="0"/>
        <w:ind w:left="540"/>
        <w:rPr>
          <w:color w:val="000000"/>
          <w:sz w:val="20"/>
          <w:szCs w:val="20"/>
        </w:rPr>
      </w:pPr>
      <w:r w:rsidRPr="005A006E">
        <w:rPr>
          <w:color w:val="000000"/>
          <w:sz w:val="20"/>
          <w:szCs w:val="20"/>
        </w:rPr>
        <w:t>Data subjects may invoke and enforce these Clauses, as third-party beneficiaries, against the data exporter and/or data importer, with the following exceptions:</w:t>
      </w:r>
    </w:p>
    <w:p w14:paraId="35B21B43" w14:textId="77777777" w:rsidR="001D7BC7" w:rsidRDefault="001D7BC7" w:rsidP="001D7BC7">
      <w:pPr>
        <w:shd w:val="clear" w:color="auto" w:fill="FFFFFF"/>
        <w:spacing w:after="0" w:line="240" w:lineRule="auto"/>
        <w:ind w:firstLine="540"/>
        <w:jc w:val="both"/>
        <w:rPr>
          <w:rFonts w:ascii="Times New Roman" w:eastAsia="Times New Roman" w:hAnsi="Times New Roman" w:cs="Times New Roman"/>
          <w:color w:val="000000"/>
          <w:sz w:val="20"/>
          <w:szCs w:val="20"/>
        </w:rPr>
      </w:pPr>
    </w:p>
    <w:p w14:paraId="0CCCB308"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 Clause 2, Clause 3, Clause 6, Clause 7;</w:t>
      </w:r>
    </w:p>
    <w:p w14:paraId="23FCFDA5"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8 – Module One: Clause 8.5 (e) and Clause 8.9(b); Module Two: Clause 8.1(b), 8.9(a), (c), (d) and (e); Module Three: Clause 8.1(a), (c) and (d) and Clause 8.9(a), (c), (d), (e), (f) and (g); Module Four: Clause 8.1 (b) and Clause 8.3(b);</w:t>
      </w:r>
    </w:p>
    <w:p w14:paraId="3B9B5E36"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9 – Module Two: Clause 9(a), (c), (d) and (e); Module Three: Clause 9(a), (c), (d) and (e);</w:t>
      </w:r>
    </w:p>
    <w:p w14:paraId="527A0B18"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12 – Module One: Clause 12(a) and (d); Modules Two and Three: Clause 12(a), (d) and (f);</w:t>
      </w:r>
    </w:p>
    <w:p w14:paraId="2F086A84"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13;</w:t>
      </w:r>
    </w:p>
    <w:p w14:paraId="70EB18C6"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15.1(c), (d) and (e);</w:t>
      </w:r>
    </w:p>
    <w:p w14:paraId="0622676F"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16(e);</w:t>
      </w:r>
    </w:p>
    <w:p w14:paraId="70E6B868" w14:textId="77777777" w:rsidR="001D7BC7" w:rsidRPr="005A006E" w:rsidRDefault="001D7BC7" w:rsidP="001D7BC7">
      <w:pPr>
        <w:pStyle w:val="ListParagraph"/>
        <w:numPr>
          <w:ilvl w:val="0"/>
          <w:numId w:val="3"/>
        </w:numPr>
        <w:shd w:val="clear" w:color="auto" w:fill="FFFFFF"/>
        <w:spacing w:after="0"/>
        <w:rPr>
          <w:color w:val="000000"/>
          <w:sz w:val="20"/>
          <w:szCs w:val="20"/>
        </w:rPr>
      </w:pPr>
      <w:r w:rsidRPr="005A006E">
        <w:rPr>
          <w:color w:val="000000"/>
          <w:sz w:val="20"/>
          <w:szCs w:val="20"/>
        </w:rPr>
        <w:t>Clause 18 – Modules One, Two and Three: Clause 18(a) and (b); Module Four: Clause 18.</w:t>
      </w:r>
    </w:p>
    <w:p w14:paraId="5E3D58A1" w14:textId="77777777" w:rsidR="001D7BC7" w:rsidRPr="005A006E" w:rsidRDefault="001D7BC7" w:rsidP="001D7BC7">
      <w:pPr>
        <w:shd w:val="clear" w:color="auto" w:fill="FFFFFF"/>
        <w:spacing w:after="0" w:line="240" w:lineRule="auto"/>
        <w:jc w:val="both"/>
        <w:rPr>
          <w:rFonts w:ascii="Times New Roman" w:eastAsia="Times New Roman" w:hAnsi="Times New Roman" w:cs="Times New Roman"/>
          <w:color w:val="000000"/>
          <w:sz w:val="20"/>
          <w:szCs w:val="20"/>
        </w:rPr>
      </w:pPr>
    </w:p>
    <w:p w14:paraId="727DF339" w14:textId="77777777" w:rsidR="001D7BC7" w:rsidRPr="005A006E" w:rsidRDefault="001D7BC7" w:rsidP="001D7BC7">
      <w:pPr>
        <w:pStyle w:val="ListParagraph"/>
        <w:numPr>
          <w:ilvl w:val="0"/>
          <w:numId w:val="2"/>
        </w:numPr>
        <w:shd w:val="clear" w:color="auto" w:fill="FFFFFF"/>
        <w:spacing w:after="0"/>
        <w:ind w:left="540"/>
        <w:rPr>
          <w:color w:val="000000"/>
          <w:sz w:val="20"/>
          <w:szCs w:val="20"/>
        </w:rPr>
      </w:pPr>
      <w:r w:rsidRPr="005A006E">
        <w:rPr>
          <w:color w:val="000000"/>
          <w:sz w:val="20"/>
          <w:szCs w:val="20"/>
        </w:rPr>
        <w:t>Paragraph (a) is without prejudice to rights of data subjects under Regulation (EU) 2016/679.</w:t>
      </w:r>
    </w:p>
    <w:p w14:paraId="64E8D0A2"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4</w:t>
      </w:r>
    </w:p>
    <w:p w14:paraId="5298CBAA"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Interpretation</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E66C00D" w14:textId="77777777" w:rsidTr="00882CDE">
        <w:tc>
          <w:tcPr>
            <w:tcW w:w="0" w:type="auto"/>
            <w:shd w:val="clear" w:color="auto" w:fill="auto"/>
            <w:hideMark/>
          </w:tcPr>
          <w:p w14:paraId="4ACA196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463DDD7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these Clauses use terms that are defined in Regulation (EU) 2016/679, those terms shall have the same meaning as in that Regulation.</w:t>
            </w:r>
          </w:p>
        </w:tc>
      </w:tr>
    </w:tbl>
    <w:p w14:paraId="56E2A30A"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39"/>
        <w:gridCol w:w="8921"/>
      </w:tblGrid>
      <w:tr w:rsidR="001D7BC7" w:rsidRPr="005A006E" w14:paraId="7E88773D" w14:textId="77777777" w:rsidTr="00882CDE">
        <w:tc>
          <w:tcPr>
            <w:tcW w:w="0" w:type="auto"/>
            <w:shd w:val="clear" w:color="auto" w:fill="auto"/>
            <w:hideMark/>
          </w:tcPr>
          <w:p w14:paraId="4F959B3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396F512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These Clauses shall be read and interpreted in the light of the provisions of Regulation (EU) 2016/679.</w:t>
            </w:r>
          </w:p>
        </w:tc>
      </w:tr>
    </w:tbl>
    <w:p w14:paraId="545362F5"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208B340B" w14:textId="77777777" w:rsidTr="00882CDE">
        <w:tc>
          <w:tcPr>
            <w:tcW w:w="0" w:type="auto"/>
            <w:shd w:val="clear" w:color="auto" w:fill="auto"/>
            <w:hideMark/>
          </w:tcPr>
          <w:p w14:paraId="1E083E5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3D4BD08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These Clauses shall not be interpreted in a way that conflicts with rights and obligations provided for in Regulation (EU) 2016/679.</w:t>
            </w:r>
          </w:p>
        </w:tc>
      </w:tr>
    </w:tbl>
    <w:p w14:paraId="1758468A"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5</w:t>
      </w:r>
    </w:p>
    <w:p w14:paraId="3096ECFB"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Hierarchy</w:t>
      </w:r>
    </w:p>
    <w:p w14:paraId="290E32A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In the event of a contradiction between these Clauses and the provisions of related agreements between the Parties, existing at the time these Clauses are agreed or entered into thereafter, these Clauses shall prevail.</w:t>
      </w:r>
    </w:p>
    <w:p w14:paraId="20B9DF80"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6</w:t>
      </w:r>
    </w:p>
    <w:p w14:paraId="15BFF922"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Description of the transfer(s)</w:t>
      </w:r>
    </w:p>
    <w:p w14:paraId="00C559B5"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The details of the transfer(s), and in particular the categories of personal data that are transferred and the purpose(s) for which they are transferred, are specified in Annex I.B.</w:t>
      </w:r>
    </w:p>
    <w:p w14:paraId="2E0F2BC1"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7 – Optional</w:t>
      </w:r>
    </w:p>
    <w:p w14:paraId="170E4B08"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Docking clause</w:t>
      </w:r>
    </w:p>
    <w:p w14:paraId="1A612E90" w14:textId="77777777" w:rsidR="001D7BC7" w:rsidRPr="005A006E" w:rsidRDefault="001D7BC7" w:rsidP="001D7BC7">
      <w:pPr>
        <w:shd w:val="clear" w:color="auto" w:fill="FFFFFF"/>
        <w:spacing w:before="240" w:after="120" w:line="240" w:lineRule="auto"/>
        <w:rPr>
          <w:rFonts w:ascii="Times New Roman" w:eastAsia="Times New Roman" w:hAnsi="Times New Roman" w:cs="Times New Roman"/>
          <w:b/>
          <w:bCs/>
          <w:color w:val="000000"/>
          <w:sz w:val="20"/>
          <w:szCs w:val="20"/>
        </w:rPr>
      </w:pPr>
      <w:r w:rsidRPr="00BB65A1">
        <w:rPr>
          <w:rFonts w:ascii="Times New Roman" w:eastAsia="Times New Roman" w:hAnsi="Times New Roman" w:cs="Times New Roman"/>
          <w:sz w:val="20"/>
          <w:szCs w:val="20"/>
        </w:rPr>
        <w:t>[Intentionally Omitted]</w:t>
      </w:r>
    </w:p>
    <w:p w14:paraId="1D44126F"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SECTION II – OBLIGATIONS OF THE PARTIES</w:t>
      </w:r>
    </w:p>
    <w:p w14:paraId="5783EC6D"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8</w:t>
      </w:r>
    </w:p>
    <w:p w14:paraId="7B11E75A"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lastRenderedPageBreak/>
        <w:t>Data protection safeguards</w:t>
      </w:r>
    </w:p>
    <w:p w14:paraId="78E55071"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 xml:space="preserve">The data exporter warrants that it has used reasonable efforts to determine that the data importer is able, through the implementation of appropriate technical and </w:t>
      </w:r>
      <w:proofErr w:type="spellStart"/>
      <w:r w:rsidRPr="005A006E">
        <w:rPr>
          <w:rFonts w:ascii="Times New Roman" w:eastAsia="Times New Roman" w:hAnsi="Times New Roman" w:cs="Times New Roman"/>
          <w:color w:val="000000"/>
          <w:sz w:val="20"/>
          <w:szCs w:val="20"/>
        </w:rPr>
        <w:t>organisational</w:t>
      </w:r>
      <w:proofErr w:type="spellEnd"/>
      <w:r w:rsidRPr="005A006E">
        <w:rPr>
          <w:rFonts w:ascii="Times New Roman" w:eastAsia="Times New Roman" w:hAnsi="Times New Roman" w:cs="Times New Roman"/>
          <w:color w:val="000000"/>
          <w:sz w:val="20"/>
          <w:szCs w:val="20"/>
        </w:rPr>
        <w:t xml:space="preserve"> measures, to satisfy its obligations under these Clauses.</w:t>
      </w:r>
    </w:p>
    <w:p w14:paraId="104BFCDC"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4E30367F"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8.1   Instructions</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51E43E29" w14:textId="77777777" w:rsidTr="00882CDE">
        <w:tc>
          <w:tcPr>
            <w:tcW w:w="0" w:type="auto"/>
            <w:shd w:val="clear" w:color="auto" w:fill="auto"/>
            <w:hideMark/>
          </w:tcPr>
          <w:p w14:paraId="2AA7974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7A63634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process the personal data only on documented instructions from the data exporter. The data exporter may give such instructions throughout the duration of the contract.</w:t>
            </w:r>
          </w:p>
        </w:tc>
      </w:tr>
    </w:tbl>
    <w:p w14:paraId="3C317A8B"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37"/>
        <w:gridCol w:w="8923"/>
      </w:tblGrid>
      <w:tr w:rsidR="001D7BC7" w:rsidRPr="005A006E" w14:paraId="294117B3" w14:textId="77777777" w:rsidTr="00882CDE">
        <w:tc>
          <w:tcPr>
            <w:tcW w:w="0" w:type="auto"/>
            <w:shd w:val="clear" w:color="auto" w:fill="auto"/>
            <w:hideMark/>
          </w:tcPr>
          <w:p w14:paraId="5137038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46904F5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immediately inform the data exporter if it is unable to follow those instructions.</w:t>
            </w:r>
          </w:p>
        </w:tc>
      </w:tr>
    </w:tbl>
    <w:p w14:paraId="4136E600"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8.2   Purpose limitation</w:t>
      </w:r>
    </w:p>
    <w:p w14:paraId="72225BC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The data importer shall process the personal data only for the specific purpose(s) of the transfer, as set out in Annex I.B, unless on further instructions from the data exporter.</w:t>
      </w:r>
    </w:p>
    <w:p w14:paraId="2B27A99A"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8.3   Transparency</w:t>
      </w:r>
    </w:p>
    <w:p w14:paraId="2BA2375D"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0932AA07"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8.4   Accuracy</w:t>
      </w:r>
    </w:p>
    <w:p w14:paraId="77B18DB4"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1963750"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8.5   Duration of processing and erasure or return of data</w:t>
      </w:r>
    </w:p>
    <w:p w14:paraId="2AD4DAE5"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2DE4D25"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8.6   Security of processing</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2F98E1C5" w14:textId="77777777" w:rsidTr="00882CDE">
        <w:tc>
          <w:tcPr>
            <w:tcW w:w="0" w:type="auto"/>
            <w:shd w:val="clear" w:color="auto" w:fill="auto"/>
            <w:hideMark/>
          </w:tcPr>
          <w:p w14:paraId="654268F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3FC2CF5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and, during transmission, also the data exporter shall implement appropriate technical and </w:t>
            </w:r>
            <w:proofErr w:type="spellStart"/>
            <w:r w:rsidRPr="005A006E">
              <w:rPr>
                <w:rFonts w:ascii="Times New Roman" w:eastAsia="Times New Roman" w:hAnsi="Times New Roman" w:cs="Times New Roman"/>
                <w:sz w:val="20"/>
                <w:szCs w:val="20"/>
              </w:rPr>
              <w:t>organisational</w:t>
            </w:r>
            <w:proofErr w:type="spellEnd"/>
            <w:r w:rsidRPr="005A006E">
              <w:rPr>
                <w:rFonts w:ascii="Times New Roman" w:eastAsia="Times New Roman" w:hAnsi="Times New Roman" w:cs="Times New Roman"/>
                <w:sz w:val="20"/>
                <w:szCs w:val="20"/>
              </w:rPr>
              <w:t xml:space="preserve"> measures to ensure the security of the data, including protection against a breach of security leading to accidental or unlawful destruction, loss, alteration, </w:t>
            </w:r>
            <w:proofErr w:type="spellStart"/>
            <w:r w:rsidRPr="005A006E">
              <w:rPr>
                <w:rFonts w:ascii="Times New Roman" w:eastAsia="Times New Roman" w:hAnsi="Times New Roman" w:cs="Times New Roman"/>
                <w:sz w:val="20"/>
                <w:szCs w:val="20"/>
              </w:rPr>
              <w:t>unauthorised</w:t>
            </w:r>
            <w:proofErr w:type="spellEnd"/>
            <w:r w:rsidRPr="005A006E">
              <w:rPr>
                <w:rFonts w:ascii="Times New Roman" w:eastAsia="Times New Roman" w:hAnsi="Times New Roman" w:cs="Times New Roman"/>
                <w:sz w:val="20"/>
                <w:szCs w:val="20"/>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w:t>
            </w:r>
            <w:r w:rsidRPr="005A006E">
              <w:rPr>
                <w:rFonts w:ascii="Times New Roman" w:eastAsia="Times New Roman" w:hAnsi="Times New Roman" w:cs="Times New Roman"/>
                <w:sz w:val="20"/>
                <w:szCs w:val="20"/>
              </w:rPr>
              <w:lastRenderedPageBreak/>
              <w:t xml:space="preserve">having recourse to encryption or </w:t>
            </w:r>
            <w:proofErr w:type="spellStart"/>
            <w:r w:rsidRPr="005A006E">
              <w:rPr>
                <w:rFonts w:ascii="Times New Roman" w:eastAsia="Times New Roman" w:hAnsi="Times New Roman" w:cs="Times New Roman"/>
                <w:sz w:val="20"/>
                <w:szCs w:val="20"/>
              </w:rPr>
              <w:t>pseudonymisation</w:t>
            </w:r>
            <w:proofErr w:type="spellEnd"/>
            <w:r w:rsidRPr="005A006E">
              <w:rPr>
                <w:rFonts w:ascii="Times New Roman" w:eastAsia="Times New Roman" w:hAnsi="Times New Roman" w:cs="Times New Roman"/>
                <w:sz w:val="20"/>
                <w:szCs w:val="20"/>
              </w:rPr>
              <w:t xml:space="preserve">, including during transmission, where the purpose of processing can be fulfilled in that manner. In case of </w:t>
            </w:r>
            <w:proofErr w:type="spellStart"/>
            <w:r w:rsidRPr="005A006E">
              <w:rPr>
                <w:rFonts w:ascii="Times New Roman" w:eastAsia="Times New Roman" w:hAnsi="Times New Roman" w:cs="Times New Roman"/>
                <w:sz w:val="20"/>
                <w:szCs w:val="20"/>
              </w:rPr>
              <w:t>pseudonymisation</w:t>
            </w:r>
            <w:proofErr w:type="spellEnd"/>
            <w:r w:rsidRPr="005A006E">
              <w:rPr>
                <w:rFonts w:ascii="Times New Roman" w:eastAsia="Times New Roman" w:hAnsi="Times New Roman" w:cs="Times New Roman"/>
                <w:sz w:val="20"/>
                <w:szCs w:val="20"/>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5A006E">
              <w:rPr>
                <w:rFonts w:ascii="Times New Roman" w:eastAsia="Times New Roman" w:hAnsi="Times New Roman" w:cs="Times New Roman"/>
                <w:sz w:val="20"/>
                <w:szCs w:val="20"/>
              </w:rPr>
              <w:t>organisational</w:t>
            </w:r>
            <w:proofErr w:type="spellEnd"/>
            <w:r w:rsidRPr="005A006E">
              <w:rPr>
                <w:rFonts w:ascii="Times New Roman" w:eastAsia="Times New Roman" w:hAnsi="Times New Roman" w:cs="Times New Roman"/>
                <w:sz w:val="20"/>
                <w:szCs w:val="20"/>
              </w:rPr>
              <w:t xml:space="preserve"> measures specified in Annex II. The data importer shall carry out regular checks to ensure that these measures continue to provide an appropriate level of security.</w:t>
            </w:r>
          </w:p>
        </w:tc>
      </w:tr>
    </w:tbl>
    <w:p w14:paraId="171A200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17E8135E" w14:textId="77777777" w:rsidTr="00882CDE">
        <w:tc>
          <w:tcPr>
            <w:tcW w:w="0" w:type="auto"/>
            <w:shd w:val="clear" w:color="auto" w:fill="auto"/>
            <w:hideMark/>
          </w:tcPr>
          <w:p w14:paraId="604A8D3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27197D4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shall grant access to the personal data to members of its personnel only to the extent strictly necessary for the implementation, management and monitoring of the contract. It shall ensure that persons </w:t>
            </w:r>
            <w:proofErr w:type="spellStart"/>
            <w:r w:rsidRPr="005A006E">
              <w:rPr>
                <w:rFonts w:ascii="Times New Roman" w:eastAsia="Times New Roman" w:hAnsi="Times New Roman" w:cs="Times New Roman"/>
                <w:sz w:val="20"/>
                <w:szCs w:val="20"/>
              </w:rPr>
              <w:t>authorised</w:t>
            </w:r>
            <w:proofErr w:type="spellEnd"/>
            <w:r w:rsidRPr="005A006E">
              <w:rPr>
                <w:rFonts w:ascii="Times New Roman" w:eastAsia="Times New Roman" w:hAnsi="Times New Roman" w:cs="Times New Roman"/>
                <w:sz w:val="20"/>
                <w:szCs w:val="20"/>
              </w:rPr>
              <w:t xml:space="preserve"> to process the personal data have committed themselves to confidentiality or are under an appropriate statutory obligation of confidentiality.</w:t>
            </w:r>
          </w:p>
        </w:tc>
      </w:tr>
    </w:tbl>
    <w:p w14:paraId="3D3BB95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3CC9063F" w14:textId="77777777" w:rsidTr="00882CDE">
        <w:tc>
          <w:tcPr>
            <w:tcW w:w="0" w:type="auto"/>
            <w:shd w:val="clear" w:color="auto" w:fill="auto"/>
            <w:hideMark/>
          </w:tcPr>
          <w:p w14:paraId="37412CC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5A6055D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14:paraId="0701782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3E71659C" w14:textId="77777777" w:rsidTr="00882CDE">
        <w:tc>
          <w:tcPr>
            <w:tcW w:w="0" w:type="auto"/>
            <w:shd w:val="clear" w:color="auto" w:fill="auto"/>
            <w:hideMark/>
          </w:tcPr>
          <w:p w14:paraId="5E6A4A4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2EB059C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tc>
      </w:tr>
    </w:tbl>
    <w:p w14:paraId="1F53F99A"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8.7   Sensitive data</w:t>
      </w:r>
    </w:p>
    <w:p w14:paraId="739B39F2"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250AF12D"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8.8   Onward transfers</w:t>
      </w:r>
    </w:p>
    <w:p w14:paraId="2FD3135B"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The data importer shall only disclose the personal data to a third party on documented instructions from the data exporter. In addition, the data may only be disclosed to a third party located outside the European Union </w:t>
      </w:r>
      <w:hyperlink r:id="rId7" w:anchor="ntr4-L_2021199EN.01003701-E0004" w:history="1">
        <w:r w:rsidRPr="005A006E">
          <w:rPr>
            <w:rFonts w:ascii="Times New Roman" w:eastAsia="Times New Roman" w:hAnsi="Times New Roman" w:cs="Times New Roman"/>
            <w:color w:val="3366CC"/>
            <w:sz w:val="20"/>
            <w:szCs w:val="20"/>
          </w:rPr>
          <w:t>(</w:t>
        </w:r>
        <w:r w:rsidRPr="005A006E">
          <w:rPr>
            <w:rFonts w:ascii="Times New Roman" w:eastAsia="Times New Roman" w:hAnsi="Times New Roman" w:cs="Times New Roman"/>
            <w:color w:val="3366CC"/>
            <w:sz w:val="20"/>
            <w:szCs w:val="20"/>
            <w:vertAlign w:val="superscript"/>
          </w:rPr>
          <w:t>4</w:t>
        </w:r>
        <w:r w:rsidRPr="005A006E">
          <w:rPr>
            <w:rFonts w:ascii="Times New Roman" w:eastAsia="Times New Roman" w:hAnsi="Times New Roman" w:cs="Times New Roman"/>
            <w:color w:val="3366CC"/>
            <w:sz w:val="20"/>
            <w:szCs w:val="20"/>
          </w:rPr>
          <w:t>)</w:t>
        </w:r>
      </w:hyperlink>
      <w:r w:rsidRPr="005A006E">
        <w:rPr>
          <w:rFonts w:ascii="Times New Roman" w:eastAsia="Times New Roman" w:hAnsi="Times New Roman" w:cs="Times New Roman"/>
          <w:color w:val="000000"/>
          <w:sz w:val="20"/>
          <w:szCs w:val="20"/>
        </w:rPr>
        <w:t> (in the same country as the data importer or in another third country, hereinafter ‘onward transfer’) if the third party is or agrees to be bound by these Clauses, under the appropriate Module, or if:</w:t>
      </w:r>
    </w:p>
    <w:tbl>
      <w:tblPr>
        <w:tblW w:w="5000" w:type="pct"/>
        <w:tblCellMar>
          <w:left w:w="0" w:type="dxa"/>
          <w:right w:w="0" w:type="dxa"/>
        </w:tblCellMar>
        <w:tblLook w:val="04A0" w:firstRow="1" w:lastRow="0" w:firstColumn="1" w:lastColumn="0" w:noHBand="0" w:noVBand="1"/>
      </w:tblPr>
      <w:tblGrid>
        <w:gridCol w:w="369"/>
        <w:gridCol w:w="8991"/>
      </w:tblGrid>
      <w:tr w:rsidR="001D7BC7" w:rsidRPr="005A006E" w14:paraId="0FF7E548" w14:textId="77777777" w:rsidTr="00882CDE">
        <w:tc>
          <w:tcPr>
            <w:tcW w:w="0" w:type="auto"/>
            <w:shd w:val="clear" w:color="auto" w:fill="auto"/>
            <w:hideMark/>
          </w:tcPr>
          <w:p w14:paraId="4F9A52E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6E6ABD9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onward transfer is to a country benefitting from an adequacy decision pursuant to Article 45 of Regulation (EU) 2016/679 that covers the onward transfer;</w:t>
            </w:r>
          </w:p>
        </w:tc>
      </w:tr>
    </w:tbl>
    <w:p w14:paraId="3423C13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25"/>
        <w:gridCol w:w="8935"/>
      </w:tblGrid>
      <w:tr w:rsidR="001D7BC7" w:rsidRPr="005A006E" w14:paraId="74C1E70C" w14:textId="77777777" w:rsidTr="00882CDE">
        <w:tc>
          <w:tcPr>
            <w:tcW w:w="0" w:type="auto"/>
            <w:shd w:val="clear" w:color="auto" w:fill="auto"/>
            <w:hideMark/>
          </w:tcPr>
          <w:p w14:paraId="5AB82E7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66DAD8F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third party otherwise ensures appropriate safeguards pursuant to Articles 46 or 47 Regulation of (EU) 2016/679 with respect to the processing in question;</w:t>
            </w:r>
          </w:p>
        </w:tc>
      </w:tr>
    </w:tbl>
    <w:p w14:paraId="4DC9B27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80"/>
        <w:gridCol w:w="8880"/>
      </w:tblGrid>
      <w:tr w:rsidR="001D7BC7" w:rsidRPr="005A006E" w14:paraId="0C376D85" w14:textId="77777777" w:rsidTr="00882CDE">
        <w:tc>
          <w:tcPr>
            <w:tcW w:w="0" w:type="auto"/>
            <w:shd w:val="clear" w:color="auto" w:fill="auto"/>
            <w:hideMark/>
          </w:tcPr>
          <w:p w14:paraId="4DD069D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(iii)</w:t>
            </w:r>
          </w:p>
        </w:tc>
        <w:tc>
          <w:tcPr>
            <w:tcW w:w="0" w:type="auto"/>
            <w:shd w:val="clear" w:color="auto" w:fill="auto"/>
            <w:hideMark/>
          </w:tcPr>
          <w:p w14:paraId="4F79BC3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onward transfer is necessary for the establishment, exercise or </w:t>
            </w:r>
            <w:proofErr w:type="spellStart"/>
            <w:r w:rsidRPr="005A006E">
              <w:rPr>
                <w:rFonts w:ascii="Times New Roman" w:eastAsia="Times New Roman" w:hAnsi="Times New Roman" w:cs="Times New Roman"/>
                <w:sz w:val="20"/>
                <w:szCs w:val="20"/>
              </w:rPr>
              <w:t>defence</w:t>
            </w:r>
            <w:proofErr w:type="spellEnd"/>
            <w:r w:rsidRPr="005A006E">
              <w:rPr>
                <w:rFonts w:ascii="Times New Roman" w:eastAsia="Times New Roman" w:hAnsi="Times New Roman" w:cs="Times New Roman"/>
                <w:sz w:val="20"/>
                <w:szCs w:val="20"/>
              </w:rPr>
              <w:t xml:space="preserve"> of legal claims in the context of specific administrative, regulatory or judicial proceedings; or</w:t>
            </w:r>
          </w:p>
        </w:tc>
      </w:tr>
    </w:tbl>
    <w:p w14:paraId="4571365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69"/>
        <w:gridCol w:w="8891"/>
      </w:tblGrid>
      <w:tr w:rsidR="001D7BC7" w:rsidRPr="005A006E" w14:paraId="5E0C7D9A" w14:textId="77777777" w:rsidTr="00882CDE">
        <w:tc>
          <w:tcPr>
            <w:tcW w:w="0" w:type="auto"/>
            <w:shd w:val="clear" w:color="auto" w:fill="auto"/>
            <w:hideMark/>
          </w:tcPr>
          <w:p w14:paraId="233FB70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(iv)</w:t>
            </w:r>
          </w:p>
        </w:tc>
        <w:tc>
          <w:tcPr>
            <w:tcW w:w="0" w:type="auto"/>
            <w:shd w:val="clear" w:color="auto" w:fill="auto"/>
            <w:hideMark/>
          </w:tcPr>
          <w:p w14:paraId="5E5E2DB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onward transfer is necessary in order to protect the vital interests of the data subject or of another natural person.</w:t>
            </w:r>
          </w:p>
        </w:tc>
      </w:tr>
    </w:tbl>
    <w:p w14:paraId="203B58A9"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lastRenderedPageBreak/>
        <w:t>Any onward transfer is subject to compliance by the data importer with all the other safeguards under these Clauses, in particular purpose limitation.</w:t>
      </w:r>
    </w:p>
    <w:p w14:paraId="1FC50B76"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8.9   Documentation and compliance</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0C061006" w14:textId="77777777" w:rsidTr="00882CDE">
        <w:tc>
          <w:tcPr>
            <w:tcW w:w="0" w:type="auto"/>
            <w:shd w:val="clear" w:color="auto" w:fill="auto"/>
            <w:hideMark/>
          </w:tcPr>
          <w:p w14:paraId="65556CF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1941CA9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promptly and adequately deal with enquiries from the data exporter that relate to the processing under these Clauses.</w:t>
            </w:r>
          </w:p>
        </w:tc>
      </w:tr>
    </w:tbl>
    <w:p w14:paraId="5FA171B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88961C8" w14:textId="77777777" w:rsidTr="00882CDE">
        <w:tc>
          <w:tcPr>
            <w:tcW w:w="0" w:type="auto"/>
            <w:shd w:val="clear" w:color="auto" w:fill="auto"/>
            <w:hideMark/>
          </w:tcPr>
          <w:p w14:paraId="4F9595B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389E35F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shall be able to demonstrate compliance with these Clauses. In particular, the data importer shall keep appropriate documentation on the processing activities carried out on behalf of the data exporter.</w:t>
            </w:r>
          </w:p>
        </w:tc>
      </w:tr>
    </w:tbl>
    <w:p w14:paraId="397904B5"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6865A3F4" w14:textId="77777777" w:rsidTr="00882CDE">
        <w:tc>
          <w:tcPr>
            <w:tcW w:w="0" w:type="auto"/>
            <w:shd w:val="clear" w:color="auto" w:fill="auto"/>
            <w:hideMark/>
          </w:tcPr>
          <w:p w14:paraId="72B65F6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5977EA5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tc>
      </w:tr>
    </w:tbl>
    <w:p w14:paraId="1E4FC91E"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50F6366A" w14:textId="77777777" w:rsidTr="00882CDE">
        <w:tc>
          <w:tcPr>
            <w:tcW w:w="0" w:type="auto"/>
            <w:shd w:val="clear" w:color="auto" w:fill="auto"/>
            <w:hideMark/>
          </w:tcPr>
          <w:p w14:paraId="75E358F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2DD7F59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14:paraId="10926B0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0273648F" w14:textId="77777777" w:rsidTr="00882CDE">
        <w:tc>
          <w:tcPr>
            <w:tcW w:w="0" w:type="auto"/>
            <w:shd w:val="clear" w:color="auto" w:fill="auto"/>
            <w:hideMark/>
          </w:tcPr>
          <w:p w14:paraId="5C21DD2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1A2E6F6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shall make the information referred to in paragraphs (b) and (c), including the results of any audits, available to the competent supervisory authority on request.</w:t>
            </w:r>
          </w:p>
        </w:tc>
      </w:tr>
    </w:tbl>
    <w:p w14:paraId="1FE57BA5"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9</w:t>
      </w:r>
    </w:p>
    <w:p w14:paraId="41C53D8A"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Use of sub-processors</w:t>
      </w:r>
    </w:p>
    <w:p w14:paraId="46D6A462"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0E1A2FD" w14:textId="77777777" w:rsidTr="00882CDE">
        <w:tc>
          <w:tcPr>
            <w:tcW w:w="0" w:type="auto"/>
            <w:shd w:val="clear" w:color="auto" w:fill="auto"/>
            <w:hideMark/>
          </w:tcPr>
          <w:p w14:paraId="336D27D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7D9ED7BE" w14:textId="77777777" w:rsidR="001D7BC7" w:rsidRPr="00BB65A1" w:rsidRDefault="001D7BC7" w:rsidP="00882CDE">
            <w:pPr>
              <w:spacing w:before="120" w:after="0" w:line="240" w:lineRule="auto"/>
              <w:ind w:left="180"/>
              <w:jc w:val="both"/>
              <w:rPr>
                <w:rFonts w:ascii="Times New Roman" w:eastAsia="Times New Roman" w:hAnsi="Times New Roman" w:cs="Times New Roman"/>
                <w:sz w:val="20"/>
                <w:szCs w:val="20"/>
              </w:rPr>
            </w:pPr>
            <w:r w:rsidRPr="00BB65A1">
              <w:rPr>
                <w:rFonts w:ascii="Times New Roman" w:eastAsia="Times New Roman" w:hAnsi="Times New Roman" w:cs="Times New Roman"/>
                <w:sz w:val="20"/>
                <w:szCs w:val="20"/>
              </w:rPr>
              <w:t>OPTION 1: Not Selected</w:t>
            </w:r>
          </w:p>
          <w:p w14:paraId="51C7966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BB65A1">
              <w:rPr>
                <w:rFonts w:ascii="Times New Roman" w:eastAsia="Times New Roman" w:hAnsi="Times New Roman" w:cs="Times New Roman"/>
                <w:sz w:val="20"/>
                <w:szCs w:val="20"/>
              </w:rPr>
              <w:t xml:space="preserve">OPTION 2: GENERAL WRITTEN AUTHORISATION The data importer has the data exporter’s general </w:t>
            </w:r>
            <w:proofErr w:type="spellStart"/>
            <w:r w:rsidRPr="00BB65A1">
              <w:rPr>
                <w:rFonts w:ascii="Times New Roman" w:eastAsia="Times New Roman" w:hAnsi="Times New Roman" w:cs="Times New Roman"/>
                <w:sz w:val="20"/>
                <w:szCs w:val="20"/>
              </w:rPr>
              <w:t>authorisation</w:t>
            </w:r>
            <w:proofErr w:type="spellEnd"/>
            <w:r w:rsidRPr="00BB65A1">
              <w:rPr>
                <w:rFonts w:ascii="Times New Roman" w:eastAsia="Times New Roman" w:hAnsi="Times New Roman" w:cs="Times New Roman"/>
                <w:sz w:val="20"/>
                <w:szCs w:val="20"/>
              </w:rPr>
              <w:t xml:space="preserve"> for the engagement of sub-processor(s) from an agreed list. The data importer shall specifically inform the data exporter in writing of any intended changes to that list through the addition or replacement of sub-processors at least </w:t>
            </w:r>
            <w:r>
              <w:rPr>
                <w:rFonts w:ascii="Times New Roman" w:eastAsia="Times New Roman" w:hAnsi="Times New Roman" w:cs="Times New Roman"/>
                <w:sz w:val="20"/>
                <w:szCs w:val="20"/>
              </w:rPr>
              <w:t>15 days</w:t>
            </w:r>
            <w:r w:rsidRPr="00BB65A1">
              <w:rPr>
                <w:rFonts w:ascii="Times New Roman" w:eastAsia="Times New Roman" w:hAnsi="Times New Roman" w:cs="Times New Roman"/>
                <w:sz w:val="20"/>
                <w:szCs w:val="20"/>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14:paraId="1B36BF3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D892EC5" w14:textId="77777777" w:rsidTr="00882CDE">
        <w:tc>
          <w:tcPr>
            <w:tcW w:w="0" w:type="auto"/>
            <w:shd w:val="clear" w:color="auto" w:fill="auto"/>
            <w:hideMark/>
          </w:tcPr>
          <w:p w14:paraId="1E5386C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0565CD7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8" w:anchor="ntr8-L_2021199EN.01003701-E0008" w:history="1">
              <w:r w:rsidRPr="005A006E">
                <w:rPr>
                  <w:rFonts w:ascii="Times New Roman" w:eastAsia="Times New Roman" w:hAnsi="Times New Roman" w:cs="Times New Roman"/>
                  <w:color w:val="3366CC"/>
                  <w:sz w:val="20"/>
                  <w:szCs w:val="20"/>
                </w:rPr>
                <w:t>(</w:t>
              </w:r>
              <w:r w:rsidRPr="005A006E">
                <w:rPr>
                  <w:rFonts w:ascii="Times New Roman" w:eastAsia="Times New Roman" w:hAnsi="Times New Roman" w:cs="Times New Roman"/>
                  <w:color w:val="3366CC"/>
                  <w:sz w:val="20"/>
                  <w:szCs w:val="20"/>
                  <w:vertAlign w:val="superscript"/>
                </w:rPr>
                <w:t>8</w:t>
              </w:r>
              <w:r w:rsidRPr="005A006E">
                <w:rPr>
                  <w:rFonts w:ascii="Times New Roman" w:eastAsia="Times New Roman" w:hAnsi="Times New Roman" w:cs="Times New Roman"/>
                  <w:color w:val="3366CC"/>
                  <w:sz w:val="20"/>
                  <w:szCs w:val="20"/>
                </w:rPr>
                <w:t>)</w:t>
              </w:r>
            </w:hyperlink>
            <w:r w:rsidRPr="005A006E">
              <w:rPr>
                <w:rFonts w:ascii="Times New Roman" w:eastAsia="Times New Roman" w:hAnsi="Times New Roman" w:cs="Times New Roman"/>
                <w:sz w:val="20"/>
                <w:szCs w:val="20"/>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02D406CC"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16A1E619" w14:textId="77777777" w:rsidTr="00882CDE">
        <w:tc>
          <w:tcPr>
            <w:tcW w:w="0" w:type="auto"/>
            <w:shd w:val="clear" w:color="auto" w:fill="auto"/>
            <w:hideMark/>
          </w:tcPr>
          <w:p w14:paraId="1B1581A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231C7AD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14:paraId="5C050BF2"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9E29537" w14:textId="77777777" w:rsidTr="00882CDE">
        <w:tc>
          <w:tcPr>
            <w:tcW w:w="0" w:type="auto"/>
            <w:shd w:val="clear" w:color="auto" w:fill="auto"/>
            <w:hideMark/>
          </w:tcPr>
          <w:p w14:paraId="48A82BF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lastRenderedPageBreak/>
              <w:t>(d)</w:t>
            </w:r>
          </w:p>
        </w:tc>
        <w:tc>
          <w:tcPr>
            <w:tcW w:w="0" w:type="auto"/>
            <w:shd w:val="clear" w:color="auto" w:fill="auto"/>
            <w:hideMark/>
          </w:tcPr>
          <w:p w14:paraId="76AB6F8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74832C8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3159C631" w14:textId="77777777" w:rsidTr="00882CDE">
        <w:tc>
          <w:tcPr>
            <w:tcW w:w="0" w:type="auto"/>
            <w:shd w:val="clear" w:color="auto" w:fill="auto"/>
            <w:hideMark/>
          </w:tcPr>
          <w:p w14:paraId="6750372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0B615DD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5C150B68"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10</w:t>
      </w:r>
    </w:p>
    <w:p w14:paraId="2E638B2B"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Data subject rights</w:t>
      </w:r>
    </w:p>
    <w:p w14:paraId="3BDECA29"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69C41F2B" w14:textId="77777777" w:rsidTr="00882CDE">
        <w:tc>
          <w:tcPr>
            <w:tcW w:w="0" w:type="auto"/>
            <w:shd w:val="clear" w:color="auto" w:fill="auto"/>
            <w:hideMark/>
          </w:tcPr>
          <w:p w14:paraId="6CFE630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762AF9F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shall promptly notify the data exporter of any request it has received from a data subject. It shall not respond to that request itself unless it has been </w:t>
            </w:r>
            <w:proofErr w:type="spellStart"/>
            <w:r w:rsidRPr="005A006E">
              <w:rPr>
                <w:rFonts w:ascii="Times New Roman" w:eastAsia="Times New Roman" w:hAnsi="Times New Roman" w:cs="Times New Roman"/>
                <w:sz w:val="20"/>
                <w:szCs w:val="20"/>
              </w:rPr>
              <w:t>authorised</w:t>
            </w:r>
            <w:proofErr w:type="spellEnd"/>
            <w:r w:rsidRPr="005A006E">
              <w:rPr>
                <w:rFonts w:ascii="Times New Roman" w:eastAsia="Times New Roman" w:hAnsi="Times New Roman" w:cs="Times New Roman"/>
                <w:sz w:val="20"/>
                <w:szCs w:val="20"/>
              </w:rPr>
              <w:t xml:space="preserve"> to do so by the data exporter.</w:t>
            </w:r>
          </w:p>
        </w:tc>
      </w:tr>
    </w:tbl>
    <w:p w14:paraId="23EC958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025FA6F8" w14:textId="77777777" w:rsidTr="00882CDE">
        <w:tc>
          <w:tcPr>
            <w:tcW w:w="0" w:type="auto"/>
            <w:shd w:val="clear" w:color="auto" w:fill="auto"/>
            <w:hideMark/>
          </w:tcPr>
          <w:p w14:paraId="46304A6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45A2673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5A006E">
              <w:rPr>
                <w:rFonts w:ascii="Times New Roman" w:eastAsia="Times New Roman" w:hAnsi="Times New Roman" w:cs="Times New Roman"/>
                <w:sz w:val="20"/>
                <w:szCs w:val="20"/>
              </w:rPr>
              <w:t>organisational</w:t>
            </w:r>
            <w:proofErr w:type="spellEnd"/>
            <w:r w:rsidRPr="005A006E">
              <w:rPr>
                <w:rFonts w:ascii="Times New Roman" w:eastAsia="Times New Roman" w:hAnsi="Times New Roman" w:cs="Times New Roman"/>
                <w:sz w:val="20"/>
                <w:szCs w:val="20"/>
              </w:rPr>
              <w:t xml:space="preserve"> measures, taking into account the nature of the processing, by which the assistance shall be provided, as well as the scope and the extent of the assistance required.</w:t>
            </w:r>
          </w:p>
        </w:tc>
      </w:tr>
    </w:tbl>
    <w:p w14:paraId="2A952BB9"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00823E29" w14:textId="77777777" w:rsidTr="00882CDE">
        <w:tc>
          <w:tcPr>
            <w:tcW w:w="0" w:type="auto"/>
            <w:shd w:val="clear" w:color="auto" w:fill="auto"/>
            <w:hideMark/>
          </w:tcPr>
          <w:p w14:paraId="37BB117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1E99774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In fulfilling its obligations under paragraphs (a) and (b), the data importer shall comply with the instructions from the data exporter.</w:t>
            </w:r>
          </w:p>
        </w:tc>
      </w:tr>
    </w:tbl>
    <w:p w14:paraId="1F974A11"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11</w:t>
      </w:r>
    </w:p>
    <w:p w14:paraId="0A01373C"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Redress</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1F63AA51" w14:textId="77777777" w:rsidTr="00882CDE">
        <w:tc>
          <w:tcPr>
            <w:tcW w:w="0" w:type="auto"/>
            <w:shd w:val="clear" w:color="auto" w:fill="auto"/>
            <w:hideMark/>
          </w:tcPr>
          <w:p w14:paraId="6BB0BB98" w14:textId="77777777" w:rsidR="001D7BC7" w:rsidRPr="00BB65A1" w:rsidRDefault="001D7BC7" w:rsidP="00882CDE">
            <w:pPr>
              <w:spacing w:before="120" w:after="0" w:line="240" w:lineRule="auto"/>
              <w:ind w:left="180"/>
              <w:jc w:val="both"/>
              <w:rPr>
                <w:rFonts w:ascii="Times New Roman" w:eastAsia="Times New Roman" w:hAnsi="Times New Roman" w:cs="Times New Roman"/>
                <w:sz w:val="20"/>
                <w:szCs w:val="20"/>
              </w:rPr>
            </w:pPr>
            <w:r w:rsidRPr="00BB65A1">
              <w:rPr>
                <w:rFonts w:ascii="Times New Roman" w:eastAsia="Times New Roman" w:hAnsi="Times New Roman" w:cs="Times New Roman"/>
                <w:sz w:val="20"/>
                <w:szCs w:val="20"/>
              </w:rPr>
              <w:t>(a)</w:t>
            </w:r>
          </w:p>
        </w:tc>
        <w:tc>
          <w:tcPr>
            <w:tcW w:w="0" w:type="auto"/>
            <w:shd w:val="clear" w:color="auto" w:fill="auto"/>
            <w:hideMark/>
          </w:tcPr>
          <w:p w14:paraId="7619A0A7" w14:textId="77777777" w:rsidR="001D7BC7" w:rsidRPr="00BB65A1" w:rsidRDefault="001D7BC7" w:rsidP="00882CDE">
            <w:pPr>
              <w:spacing w:before="120" w:after="0" w:line="240" w:lineRule="auto"/>
              <w:ind w:left="180"/>
              <w:jc w:val="both"/>
              <w:rPr>
                <w:rFonts w:ascii="Times New Roman" w:eastAsia="Times New Roman" w:hAnsi="Times New Roman" w:cs="Times New Roman"/>
                <w:sz w:val="20"/>
                <w:szCs w:val="20"/>
              </w:rPr>
            </w:pPr>
            <w:r w:rsidRPr="00BB65A1">
              <w:rPr>
                <w:rFonts w:ascii="Times New Roman" w:eastAsia="Times New Roman" w:hAnsi="Times New Roman" w:cs="Times New Roman"/>
                <w:sz w:val="20"/>
                <w:szCs w:val="20"/>
              </w:rPr>
              <w:t xml:space="preserve">The data importer shall inform data subjects in a transparent and easily accessible format, through individual notice or on its website, of a contact point </w:t>
            </w:r>
            <w:proofErr w:type="spellStart"/>
            <w:r w:rsidRPr="00BB65A1">
              <w:rPr>
                <w:rFonts w:ascii="Times New Roman" w:eastAsia="Times New Roman" w:hAnsi="Times New Roman" w:cs="Times New Roman"/>
                <w:sz w:val="20"/>
                <w:szCs w:val="20"/>
              </w:rPr>
              <w:t>authorised</w:t>
            </w:r>
            <w:proofErr w:type="spellEnd"/>
            <w:r w:rsidRPr="00BB65A1">
              <w:rPr>
                <w:rFonts w:ascii="Times New Roman" w:eastAsia="Times New Roman" w:hAnsi="Times New Roman" w:cs="Times New Roman"/>
                <w:sz w:val="20"/>
                <w:szCs w:val="20"/>
              </w:rPr>
              <w:t xml:space="preserve"> to handle complaints. It shall deal promptly with any complaints it receives from a data subject.</w:t>
            </w:r>
          </w:p>
          <w:p w14:paraId="50351496" w14:textId="77777777" w:rsidR="001D7BC7" w:rsidRPr="00BB65A1" w:rsidRDefault="001D7BC7" w:rsidP="00882CDE">
            <w:pPr>
              <w:spacing w:before="120" w:after="0" w:line="240" w:lineRule="auto"/>
              <w:ind w:left="180"/>
              <w:jc w:val="both"/>
              <w:rPr>
                <w:rFonts w:ascii="Times New Roman" w:eastAsia="Times New Roman" w:hAnsi="Times New Roman" w:cs="Times New Roman"/>
                <w:sz w:val="20"/>
                <w:szCs w:val="20"/>
              </w:rPr>
            </w:pPr>
            <w:r w:rsidRPr="00BB65A1">
              <w:rPr>
                <w:rFonts w:ascii="Times New Roman" w:eastAsia="Times New Roman" w:hAnsi="Times New Roman" w:cs="Times New Roman"/>
                <w:sz w:val="20"/>
                <w:szCs w:val="20"/>
              </w:rPr>
              <w:t>[OPTION: Not Selected]</w:t>
            </w:r>
          </w:p>
        </w:tc>
      </w:tr>
    </w:tbl>
    <w:p w14:paraId="4D89A783" w14:textId="77777777" w:rsidR="001D7BC7" w:rsidRDefault="001D7BC7" w:rsidP="001D7BC7">
      <w:pPr>
        <w:shd w:val="clear" w:color="auto" w:fill="FFFFFF"/>
        <w:spacing w:before="120" w:after="0" w:line="240" w:lineRule="auto"/>
        <w:ind w:left="180"/>
        <w:jc w:val="both"/>
        <w:rPr>
          <w:rFonts w:ascii="Times New Roman" w:eastAsia="Times New Roman" w:hAnsi="Times New Roman" w:cs="Times New Roman"/>
          <w:b/>
          <w:bCs/>
          <w:color w:val="000000"/>
          <w:sz w:val="20"/>
          <w:szCs w:val="20"/>
        </w:rPr>
      </w:pPr>
    </w:p>
    <w:p w14:paraId="34EC2E5F"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63BBCDEC"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6BEF1D9D" w14:textId="77777777" w:rsidTr="00882CDE">
        <w:tc>
          <w:tcPr>
            <w:tcW w:w="0" w:type="auto"/>
            <w:shd w:val="clear" w:color="auto" w:fill="auto"/>
            <w:hideMark/>
          </w:tcPr>
          <w:p w14:paraId="36D7C7A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0F13213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14:paraId="4F5004EC"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0306D930" w14:textId="77777777" w:rsidTr="00882CDE">
        <w:tc>
          <w:tcPr>
            <w:tcW w:w="0" w:type="auto"/>
            <w:shd w:val="clear" w:color="auto" w:fill="auto"/>
            <w:hideMark/>
          </w:tcPr>
          <w:p w14:paraId="4BD9B95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7AA8E04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the data subject invokes a third-party beneficiary right pursuant to Clause 3, the data importer shall accept the decision of the data subject to:</w:t>
            </w:r>
          </w:p>
          <w:tbl>
            <w:tblPr>
              <w:tblW w:w="5000" w:type="pct"/>
              <w:tblCellMar>
                <w:left w:w="0" w:type="dxa"/>
                <w:right w:w="0" w:type="dxa"/>
              </w:tblCellMar>
              <w:tblLook w:val="04A0" w:firstRow="1" w:lastRow="0" w:firstColumn="1" w:lastColumn="0" w:noHBand="0" w:noVBand="1"/>
            </w:tblPr>
            <w:tblGrid>
              <w:gridCol w:w="369"/>
              <w:gridCol w:w="8589"/>
            </w:tblGrid>
            <w:tr w:rsidR="001D7BC7" w:rsidRPr="005A006E" w14:paraId="688F3279" w14:textId="77777777" w:rsidTr="00882CDE">
              <w:tc>
                <w:tcPr>
                  <w:tcW w:w="0" w:type="auto"/>
                  <w:shd w:val="clear" w:color="auto" w:fill="auto"/>
                  <w:hideMark/>
                </w:tcPr>
                <w:p w14:paraId="3BB0E62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0C7B12D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lodge a complaint with the supervisory authority in the Member State of his/her habitual residence or place of work, or the competent supervisory authority pursuant to Clause 13;</w:t>
                  </w:r>
                </w:p>
              </w:tc>
            </w:tr>
          </w:tbl>
          <w:p w14:paraId="589040C5"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583"/>
              <w:gridCol w:w="8375"/>
            </w:tblGrid>
            <w:tr w:rsidR="001D7BC7" w:rsidRPr="005A006E" w14:paraId="08FA2196" w14:textId="77777777" w:rsidTr="00882CDE">
              <w:tc>
                <w:tcPr>
                  <w:tcW w:w="0" w:type="auto"/>
                  <w:shd w:val="clear" w:color="auto" w:fill="auto"/>
                  <w:hideMark/>
                </w:tcPr>
                <w:p w14:paraId="3111A63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0D22BEB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refer the dispute to the competent courts within the meaning of Clause 18.</w:t>
                  </w:r>
                </w:p>
              </w:tc>
            </w:tr>
          </w:tbl>
          <w:p w14:paraId="7EE71B14" w14:textId="77777777" w:rsidR="001D7BC7" w:rsidRPr="005A006E" w:rsidRDefault="001D7BC7" w:rsidP="00882CDE">
            <w:pPr>
              <w:spacing w:after="0" w:line="240" w:lineRule="auto"/>
              <w:ind w:left="180"/>
              <w:rPr>
                <w:rFonts w:ascii="Times New Roman" w:eastAsia="Times New Roman" w:hAnsi="Times New Roman" w:cs="Times New Roman"/>
                <w:sz w:val="20"/>
                <w:szCs w:val="20"/>
              </w:rPr>
            </w:pPr>
          </w:p>
        </w:tc>
      </w:tr>
    </w:tbl>
    <w:p w14:paraId="38C6B0EC"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5ED88D22" w14:textId="77777777" w:rsidTr="00882CDE">
        <w:tc>
          <w:tcPr>
            <w:tcW w:w="0" w:type="auto"/>
            <w:shd w:val="clear" w:color="auto" w:fill="auto"/>
            <w:hideMark/>
          </w:tcPr>
          <w:p w14:paraId="397E273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lastRenderedPageBreak/>
              <w:t>(d)</w:t>
            </w:r>
          </w:p>
        </w:tc>
        <w:tc>
          <w:tcPr>
            <w:tcW w:w="0" w:type="auto"/>
            <w:shd w:val="clear" w:color="auto" w:fill="auto"/>
            <w:hideMark/>
          </w:tcPr>
          <w:p w14:paraId="37B2BBB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Parties accept that the data subject may be represented by a not-for-profit body, </w:t>
            </w:r>
            <w:proofErr w:type="spellStart"/>
            <w:r w:rsidRPr="005A006E">
              <w:rPr>
                <w:rFonts w:ascii="Times New Roman" w:eastAsia="Times New Roman" w:hAnsi="Times New Roman" w:cs="Times New Roman"/>
                <w:sz w:val="20"/>
                <w:szCs w:val="20"/>
              </w:rPr>
              <w:t>organisation</w:t>
            </w:r>
            <w:proofErr w:type="spellEnd"/>
            <w:r w:rsidRPr="005A006E">
              <w:rPr>
                <w:rFonts w:ascii="Times New Roman" w:eastAsia="Times New Roman" w:hAnsi="Times New Roman" w:cs="Times New Roman"/>
                <w:sz w:val="20"/>
                <w:szCs w:val="20"/>
              </w:rPr>
              <w:t xml:space="preserve"> or association under the conditions set out in Article 80(1) of Regulation (EU) 2016/679.</w:t>
            </w:r>
          </w:p>
        </w:tc>
      </w:tr>
    </w:tbl>
    <w:p w14:paraId="34AB44E4"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8"/>
        <w:gridCol w:w="8942"/>
      </w:tblGrid>
      <w:tr w:rsidR="001D7BC7" w:rsidRPr="005A006E" w14:paraId="67E5D11B" w14:textId="77777777" w:rsidTr="00882CDE">
        <w:tc>
          <w:tcPr>
            <w:tcW w:w="0" w:type="auto"/>
            <w:shd w:val="clear" w:color="auto" w:fill="auto"/>
            <w:hideMark/>
          </w:tcPr>
          <w:p w14:paraId="297EBC1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7E0383D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abide by a decision that is binding under the applicable EU or Member State law.</w:t>
            </w:r>
          </w:p>
        </w:tc>
      </w:tr>
    </w:tbl>
    <w:p w14:paraId="7693D85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380"/>
        <w:gridCol w:w="8980"/>
      </w:tblGrid>
      <w:tr w:rsidR="001D7BC7" w:rsidRPr="005A006E" w14:paraId="052197FF" w14:textId="77777777" w:rsidTr="00882CDE">
        <w:tc>
          <w:tcPr>
            <w:tcW w:w="0" w:type="auto"/>
            <w:shd w:val="clear" w:color="auto" w:fill="auto"/>
            <w:hideMark/>
          </w:tcPr>
          <w:p w14:paraId="20DF722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(f)</w:t>
            </w:r>
          </w:p>
        </w:tc>
        <w:tc>
          <w:tcPr>
            <w:tcW w:w="0" w:type="auto"/>
            <w:shd w:val="clear" w:color="auto" w:fill="auto"/>
            <w:hideMark/>
          </w:tcPr>
          <w:p w14:paraId="372AEF0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that the choice made by the data subject will not prejudice his/her substantive and procedural rights to seek remedies in accordance with applicable laws.</w:t>
            </w:r>
          </w:p>
        </w:tc>
      </w:tr>
    </w:tbl>
    <w:p w14:paraId="74D0D60B"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12</w:t>
      </w:r>
    </w:p>
    <w:p w14:paraId="0AB05DFC"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Liability</w:t>
      </w:r>
    </w:p>
    <w:p w14:paraId="2B1234EF"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74858AFD" w14:textId="77777777" w:rsidR="001D7BC7" w:rsidRPr="00BB65A1"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60C35ADB" w14:textId="77777777" w:rsidTr="00882CDE">
        <w:tc>
          <w:tcPr>
            <w:tcW w:w="0" w:type="auto"/>
            <w:shd w:val="clear" w:color="auto" w:fill="auto"/>
            <w:hideMark/>
          </w:tcPr>
          <w:p w14:paraId="423207C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1460CDC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Each Party shall be liable to the other Party/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for any damages it causes the other Party/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by any breach of these Clauses.</w:t>
            </w:r>
          </w:p>
        </w:tc>
      </w:tr>
    </w:tbl>
    <w:p w14:paraId="41815E4C"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19518107" w14:textId="77777777" w:rsidTr="00882CDE">
        <w:tc>
          <w:tcPr>
            <w:tcW w:w="0" w:type="auto"/>
            <w:shd w:val="clear" w:color="auto" w:fill="auto"/>
            <w:hideMark/>
          </w:tcPr>
          <w:p w14:paraId="1B0B622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1EC226A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tc>
      </w:tr>
    </w:tbl>
    <w:p w14:paraId="66CFB166"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331B6BDA" w14:textId="77777777" w:rsidTr="00882CDE">
        <w:tc>
          <w:tcPr>
            <w:tcW w:w="0" w:type="auto"/>
            <w:shd w:val="clear" w:color="auto" w:fill="auto"/>
            <w:hideMark/>
          </w:tcPr>
          <w:p w14:paraId="48D57750"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404F090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tc>
      </w:tr>
    </w:tbl>
    <w:p w14:paraId="3E055726"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6A9454F9" w14:textId="77777777" w:rsidTr="00882CDE">
        <w:tc>
          <w:tcPr>
            <w:tcW w:w="0" w:type="auto"/>
            <w:shd w:val="clear" w:color="auto" w:fill="auto"/>
            <w:hideMark/>
          </w:tcPr>
          <w:p w14:paraId="6DED152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3B5297B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tc>
      </w:tr>
    </w:tbl>
    <w:p w14:paraId="578CC573"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27D8D1BE" w14:textId="77777777" w:rsidTr="00882CDE">
        <w:tc>
          <w:tcPr>
            <w:tcW w:w="0" w:type="auto"/>
            <w:shd w:val="clear" w:color="auto" w:fill="auto"/>
            <w:hideMark/>
          </w:tcPr>
          <w:p w14:paraId="4E7FA35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11A952C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14:paraId="43F323C4"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380"/>
        <w:gridCol w:w="8980"/>
      </w:tblGrid>
      <w:tr w:rsidR="001D7BC7" w:rsidRPr="005A006E" w14:paraId="5E2FA6E1" w14:textId="77777777" w:rsidTr="00882CDE">
        <w:tc>
          <w:tcPr>
            <w:tcW w:w="0" w:type="auto"/>
            <w:shd w:val="clear" w:color="auto" w:fill="auto"/>
            <w:hideMark/>
          </w:tcPr>
          <w:p w14:paraId="61AFE37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(f)</w:t>
            </w:r>
          </w:p>
        </w:tc>
        <w:tc>
          <w:tcPr>
            <w:tcW w:w="0" w:type="auto"/>
            <w:shd w:val="clear" w:color="auto" w:fill="auto"/>
            <w:hideMark/>
          </w:tcPr>
          <w:p w14:paraId="33B5BD6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agree that if one Party is held liable under paragraph (e), it shall be entitled to claim back from the other Party/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that part of the compensation corresponding to its/their responsibility for the damage.</w:t>
            </w:r>
          </w:p>
        </w:tc>
      </w:tr>
    </w:tbl>
    <w:p w14:paraId="6521E1C0"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92"/>
        <w:gridCol w:w="8868"/>
      </w:tblGrid>
      <w:tr w:rsidR="001D7BC7" w:rsidRPr="005A006E" w14:paraId="5D234F5F" w14:textId="77777777" w:rsidTr="00882CDE">
        <w:tc>
          <w:tcPr>
            <w:tcW w:w="0" w:type="auto"/>
            <w:shd w:val="clear" w:color="auto" w:fill="auto"/>
            <w:hideMark/>
          </w:tcPr>
          <w:p w14:paraId="5FDE5EA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(g)</w:t>
            </w:r>
          </w:p>
        </w:tc>
        <w:tc>
          <w:tcPr>
            <w:tcW w:w="0" w:type="auto"/>
            <w:shd w:val="clear" w:color="auto" w:fill="auto"/>
            <w:hideMark/>
          </w:tcPr>
          <w:p w14:paraId="70E35AE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may not invoke the conduct of a sub-processor to avoid its own liability.</w:t>
            </w:r>
          </w:p>
        </w:tc>
      </w:tr>
    </w:tbl>
    <w:p w14:paraId="2EA8C84E"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13</w:t>
      </w:r>
    </w:p>
    <w:p w14:paraId="1C19152E"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Supervision</w:t>
      </w:r>
    </w:p>
    <w:p w14:paraId="094E4C13"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01002DE" w14:textId="77777777" w:rsidTr="00882CDE">
        <w:tc>
          <w:tcPr>
            <w:tcW w:w="0" w:type="auto"/>
            <w:shd w:val="clear" w:color="auto" w:fill="auto"/>
            <w:hideMark/>
          </w:tcPr>
          <w:p w14:paraId="1BC9178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0C98200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4310CCA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lastRenderedPageBreak/>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76874FD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5A006E">
              <w:rPr>
                <w:rFonts w:ascii="Times New Roman" w:eastAsia="Times New Roman" w:hAnsi="Times New Roman" w:cs="Times New Roman"/>
                <w:sz w:val="20"/>
                <w:szCs w:val="20"/>
              </w:rPr>
              <w:t>behaviour</w:t>
            </w:r>
            <w:proofErr w:type="spellEnd"/>
            <w:r w:rsidRPr="005A006E">
              <w:rPr>
                <w:rFonts w:ascii="Times New Roman" w:eastAsia="Times New Roman" w:hAnsi="Times New Roman" w:cs="Times New Roman"/>
                <w:sz w:val="20"/>
                <w:szCs w:val="20"/>
              </w:rPr>
              <w:t xml:space="preserve"> is monitored, are located, as indicated in Annex I.C, shall act as competent supervisory authority.</w:t>
            </w:r>
          </w:p>
        </w:tc>
      </w:tr>
    </w:tbl>
    <w:p w14:paraId="414AC502"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074AA967" w14:textId="77777777" w:rsidTr="00882CDE">
        <w:tc>
          <w:tcPr>
            <w:tcW w:w="0" w:type="auto"/>
            <w:shd w:val="clear" w:color="auto" w:fill="auto"/>
            <w:hideMark/>
          </w:tcPr>
          <w:p w14:paraId="6C74A6B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522C447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r>
    </w:tbl>
    <w:p w14:paraId="56517BAE" w14:textId="77777777" w:rsidR="001D7BC7" w:rsidRPr="005A006E" w:rsidRDefault="001D7BC7" w:rsidP="001D7BC7">
      <w:pPr>
        <w:shd w:val="clear" w:color="auto" w:fill="FFFFFF"/>
        <w:spacing w:before="240" w:after="120" w:line="240" w:lineRule="auto"/>
        <w:ind w:left="180"/>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SECTION III – LOCAL LAWS AND OBLIGATIONS IN CASE OF ACCESS BY PUBLIC AUTHORITIES</w:t>
      </w:r>
    </w:p>
    <w:p w14:paraId="0F02A2F2"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14</w:t>
      </w:r>
    </w:p>
    <w:p w14:paraId="7331E47E"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Local laws and practices affecting compliance with the Clauses</w:t>
      </w:r>
    </w:p>
    <w:p w14:paraId="5C17BA05"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E3C6E52" w14:textId="77777777" w:rsidTr="00882CDE">
        <w:tc>
          <w:tcPr>
            <w:tcW w:w="0" w:type="auto"/>
            <w:shd w:val="clear" w:color="auto" w:fill="auto"/>
            <w:hideMark/>
          </w:tcPr>
          <w:p w14:paraId="1548429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102F362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5A006E">
              <w:rPr>
                <w:rFonts w:ascii="Times New Roman" w:eastAsia="Times New Roman" w:hAnsi="Times New Roman" w:cs="Times New Roman"/>
                <w:sz w:val="20"/>
                <w:szCs w:val="20"/>
              </w:rPr>
              <w:t>authorising</w:t>
            </w:r>
            <w:proofErr w:type="spellEnd"/>
            <w:r w:rsidRPr="005A006E">
              <w:rPr>
                <w:rFonts w:ascii="Times New Roman" w:eastAsia="Times New Roman" w:hAnsi="Times New Roman" w:cs="Times New Roman"/>
                <w:sz w:val="20"/>
                <w:szCs w:val="20"/>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r>
    </w:tbl>
    <w:p w14:paraId="6F6133ED"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79AA224F" w14:textId="77777777" w:rsidTr="00882CDE">
        <w:tc>
          <w:tcPr>
            <w:tcW w:w="0" w:type="auto"/>
            <w:shd w:val="clear" w:color="auto" w:fill="auto"/>
            <w:hideMark/>
          </w:tcPr>
          <w:p w14:paraId="7F11F9E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6FAD78B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declare that in providing the warranty in paragraph (a), they have taken due account in particular of the following elements:</w:t>
            </w:r>
          </w:p>
          <w:tbl>
            <w:tblPr>
              <w:tblW w:w="5000" w:type="pct"/>
              <w:tblCellMar>
                <w:left w:w="0" w:type="dxa"/>
                <w:right w:w="0" w:type="dxa"/>
              </w:tblCellMar>
              <w:tblLook w:val="04A0" w:firstRow="1" w:lastRow="0" w:firstColumn="1" w:lastColumn="0" w:noHBand="0" w:noVBand="1"/>
            </w:tblPr>
            <w:tblGrid>
              <w:gridCol w:w="369"/>
              <w:gridCol w:w="8577"/>
            </w:tblGrid>
            <w:tr w:rsidR="001D7BC7" w:rsidRPr="005A006E" w14:paraId="588DEFFE" w14:textId="77777777" w:rsidTr="00882CDE">
              <w:tc>
                <w:tcPr>
                  <w:tcW w:w="0" w:type="auto"/>
                  <w:shd w:val="clear" w:color="auto" w:fill="auto"/>
                  <w:hideMark/>
                </w:tcPr>
                <w:p w14:paraId="6CFD2EA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47F336E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14:paraId="583CC654"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425"/>
              <w:gridCol w:w="8521"/>
            </w:tblGrid>
            <w:tr w:rsidR="001D7BC7" w:rsidRPr="005A006E" w14:paraId="53AD1E1B" w14:textId="77777777" w:rsidTr="00882CDE">
              <w:tc>
                <w:tcPr>
                  <w:tcW w:w="0" w:type="auto"/>
                  <w:shd w:val="clear" w:color="auto" w:fill="auto"/>
                  <w:hideMark/>
                </w:tcPr>
                <w:p w14:paraId="2E91634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1A9B5233"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laws and practices of the third country of destination– including those requiring the disclosure of data to public authorities or </w:t>
                  </w:r>
                  <w:proofErr w:type="spellStart"/>
                  <w:r w:rsidRPr="005A006E">
                    <w:rPr>
                      <w:rFonts w:ascii="Times New Roman" w:eastAsia="Times New Roman" w:hAnsi="Times New Roman" w:cs="Times New Roman"/>
                      <w:sz w:val="20"/>
                      <w:szCs w:val="20"/>
                    </w:rPr>
                    <w:t>authorising</w:t>
                  </w:r>
                  <w:proofErr w:type="spellEnd"/>
                  <w:r w:rsidRPr="005A006E">
                    <w:rPr>
                      <w:rFonts w:ascii="Times New Roman" w:eastAsia="Times New Roman" w:hAnsi="Times New Roman" w:cs="Times New Roman"/>
                      <w:sz w:val="20"/>
                      <w:szCs w:val="20"/>
                    </w:rPr>
                    <w:t xml:space="preserve"> access by such authorities – relevant in light of the specific circumstances of the transfer, and the applicable limitations and safeguards </w:t>
                  </w:r>
                  <w:hyperlink r:id="rId9" w:anchor="ntr12-L_2021199EN.01003701-E0012" w:history="1">
                    <w:r w:rsidRPr="005A006E">
                      <w:rPr>
                        <w:rFonts w:ascii="Times New Roman" w:eastAsia="Times New Roman" w:hAnsi="Times New Roman" w:cs="Times New Roman"/>
                        <w:color w:val="3366CC"/>
                        <w:sz w:val="20"/>
                        <w:szCs w:val="20"/>
                      </w:rPr>
                      <w:t>(</w:t>
                    </w:r>
                    <w:r w:rsidRPr="005A006E">
                      <w:rPr>
                        <w:rFonts w:ascii="Times New Roman" w:eastAsia="Times New Roman" w:hAnsi="Times New Roman" w:cs="Times New Roman"/>
                        <w:color w:val="3366CC"/>
                        <w:sz w:val="20"/>
                        <w:szCs w:val="20"/>
                        <w:vertAlign w:val="superscript"/>
                      </w:rPr>
                      <w:t>12</w:t>
                    </w:r>
                    <w:r w:rsidRPr="005A006E">
                      <w:rPr>
                        <w:rFonts w:ascii="Times New Roman" w:eastAsia="Times New Roman" w:hAnsi="Times New Roman" w:cs="Times New Roman"/>
                        <w:color w:val="3366CC"/>
                        <w:sz w:val="20"/>
                        <w:szCs w:val="20"/>
                      </w:rPr>
                      <w:t>)</w:t>
                    </w:r>
                  </w:hyperlink>
                  <w:r w:rsidRPr="005A006E">
                    <w:rPr>
                      <w:rFonts w:ascii="Times New Roman" w:eastAsia="Times New Roman" w:hAnsi="Times New Roman" w:cs="Times New Roman"/>
                      <w:sz w:val="20"/>
                      <w:szCs w:val="20"/>
                    </w:rPr>
                    <w:t>;</w:t>
                  </w:r>
                </w:p>
              </w:tc>
            </w:tr>
          </w:tbl>
          <w:p w14:paraId="3368D8C3"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480"/>
              <w:gridCol w:w="8466"/>
            </w:tblGrid>
            <w:tr w:rsidR="001D7BC7" w:rsidRPr="005A006E" w14:paraId="194FB954" w14:textId="77777777" w:rsidTr="00882CDE">
              <w:tc>
                <w:tcPr>
                  <w:tcW w:w="0" w:type="auto"/>
                  <w:shd w:val="clear" w:color="auto" w:fill="auto"/>
                  <w:hideMark/>
                </w:tcPr>
                <w:p w14:paraId="58507A5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(iii)</w:t>
                  </w:r>
                </w:p>
              </w:tc>
              <w:tc>
                <w:tcPr>
                  <w:tcW w:w="0" w:type="auto"/>
                  <w:shd w:val="clear" w:color="auto" w:fill="auto"/>
                  <w:hideMark/>
                </w:tcPr>
                <w:p w14:paraId="2272631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any relevant contractual, technical or </w:t>
                  </w:r>
                  <w:proofErr w:type="spellStart"/>
                  <w:r w:rsidRPr="005A006E">
                    <w:rPr>
                      <w:rFonts w:ascii="Times New Roman" w:eastAsia="Times New Roman" w:hAnsi="Times New Roman" w:cs="Times New Roman"/>
                      <w:sz w:val="20"/>
                      <w:szCs w:val="20"/>
                    </w:rPr>
                    <w:t>organisational</w:t>
                  </w:r>
                  <w:proofErr w:type="spellEnd"/>
                  <w:r w:rsidRPr="005A006E">
                    <w:rPr>
                      <w:rFonts w:ascii="Times New Roman" w:eastAsia="Times New Roman" w:hAnsi="Times New Roman" w:cs="Times New Roman"/>
                      <w:sz w:val="20"/>
                      <w:szCs w:val="20"/>
                    </w:rPr>
                    <w:t xml:space="preserve"> safeguards put in place to supplement the safeguards under these Clauses, including measures applied during transmission and to the processing of the personal data in the country of destination.</w:t>
                  </w:r>
                </w:p>
              </w:tc>
            </w:tr>
          </w:tbl>
          <w:p w14:paraId="228594CC" w14:textId="77777777" w:rsidR="001D7BC7" w:rsidRPr="005A006E" w:rsidRDefault="001D7BC7" w:rsidP="00882CDE">
            <w:pPr>
              <w:spacing w:after="0" w:line="240" w:lineRule="auto"/>
              <w:ind w:left="180"/>
              <w:rPr>
                <w:rFonts w:ascii="Times New Roman" w:eastAsia="Times New Roman" w:hAnsi="Times New Roman" w:cs="Times New Roman"/>
                <w:sz w:val="20"/>
                <w:szCs w:val="20"/>
              </w:rPr>
            </w:pPr>
          </w:p>
        </w:tc>
      </w:tr>
    </w:tbl>
    <w:p w14:paraId="0EF3267D"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7171BED" w14:textId="77777777" w:rsidTr="00882CDE">
        <w:tc>
          <w:tcPr>
            <w:tcW w:w="0" w:type="auto"/>
            <w:shd w:val="clear" w:color="auto" w:fill="auto"/>
            <w:hideMark/>
          </w:tcPr>
          <w:p w14:paraId="2118519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3CFDFE7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r>
    </w:tbl>
    <w:p w14:paraId="4C973BF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50F7950B" w14:textId="77777777" w:rsidTr="00882CDE">
        <w:tc>
          <w:tcPr>
            <w:tcW w:w="0" w:type="auto"/>
            <w:shd w:val="clear" w:color="auto" w:fill="auto"/>
            <w:hideMark/>
          </w:tcPr>
          <w:p w14:paraId="60E58AD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610D295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agree to document the assessment under paragraph (b) and make it available to the competent supervisory authority on request.</w:t>
            </w:r>
          </w:p>
        </w:tc>
      </w:tr>
    </w:tbl>
    <w:p w14:paraId="451DA7CE"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2083B2A4" w14:textId="77777777" w:rsidTr="00882CDE">
        <w:tc>
          <w:tcPr>
            <w:tcW w:w="0" w:type="auto"/>
            <w:shd w:val="clear" w:color="auto" w:fill="auto"/>
            <w:hideMark/>
          </w:tcPr>
          <w:p w14:paraId="1DBB576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37144AB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tc>
      </w:tr>
    </w:tbl>
    <w:p w14:paraId="7768F4B9"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380"/>
        <w:gridCol w:w="8980"/>
      </w:tblGrid>
      <w:tr w:rsidR="001D7BC7" w:rsidRPr="005A006E" w14:paraId="1FB51AAF" w14:textId="77777777" w:rsidTr="00882CDE">
        <w:tc>
          <w:tcPr>
            <w:tcW w:w="0" w:type="auto"/>
            <w:shd w:val="clear" w:color="auto" w:fill="auto"/>
            <w:hideMark/>
          </w:tcPr>
          <w:p w14:paraId="1081516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(f)</w:t>
            </w:r>
          </w:p>
        </w:tc>
        <w:tc>
          <w:tcPr>
            <w:tcW w:w="0" w:type="auto"/>
            <w:shd w:val="clear" w:color="auto" w:fill="auto"/>
            <w:hideMark/>
          </w:tcPr>
          <w:p w14:paraId="4C1D6B9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5A006E">
              <w:rPr>
                <w:rFonts w:ascii="Times New Roman" w:eastAsia="Times New Roman" w:hAnsi="Times New Roman" w:cs="Times New Roman"/>
                <w:sz w:val="20"/>
                <w:szCs w:val="20"/>
              </w:rPr>
              <w:t>organisational</w:t>
            </w:r>
            <w:proofErr w:type="spellEnd"/>
            <w:r w:rsidRPr="005A006E">
              <w:rPr>
                <w:rFonts w:ascii="Times New Roman" w:eastAsia="Times New Roman" w:hAnsi="Times New Roman" w:cs="Times New Roman"/>
                <w:sz w:val="20"/>
                <w:szCs w:val="20"/>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r>
    </w:tbl>
    <w:p w14:paraId="01CD601A"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15</w:t>
      </w:r>
    </w:p>
    <w:p w14:paraId="3EEC8596"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Obligations of the data importer in case of access by public authorities</w:t>
      </w:r>
    </w:p>
    <w:p w14:paraId="12CD918E" w14:textId="77777777" w:rsidR="001D7BC7" w:rsidRPr="005A006E" w:rsidRDefault="001D7BC7" w:rsidP="001D7BC7">
      <w:pPr>
        <w:shd w:val="clear" w:color="auto" w:fill="FFFFFF"/>
        <w:spacing w:before="120" w:after="0" w:line="240" w:lineRule="auto"/>
        <w:ind w:left="180"/>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7355B8B1"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15.1   Notification</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737E15D5" w14:textId="77777777" w:rsidTr="00882CDE">
        <w:tc>
          <w:tcPr>
            <w:tcW w:w="0" w:type="auto"/>
            <w:shd w:val="clear" w:color="auto" w:fill="auto"/>
            <w:hideMark/>
          </w:tcPr>
          <w:p w14:paraId="3A9B62C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7629252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to notify the data exporter and, where possible, the data subject promptly (if necessary with the help of the data exporter) if it:</w:t>
            </w:r>
          </w:p>
          <w:tbl>
            <w:tblPr>
              <w:tblW w:w="5000" w:type="pct"/>
              <w:tblCellMar>
                <w:left w:w="0" w:type="dxa"/>
                <w:right w:w="0" w:type="dxa"/>
              </w:tblCellMar>
              <w:tblLook w:val="04A0" w:firstRow="1" w:lastRow="0" w:firstColumn="1" w:lastColumn="0" w:noHBand="0" w:noVBand="1"/>
            </w:tblPr>
            <w:tblGrid>
              <w:gridCol w:w="369"/>
              <w:gridCol w:w="8589"/>
            </w:tblGrid>
            <w:tr w:rsidR="001D7BC7" w:rsidRPr="005A006E" w14:paraId="1EA810CA" w14:textId="77777777" w:rsidTr="00882CDE">
              <w:tc>
                <w:tcPr>
                  <w:tcW w:w="0" w:type="auto"/>
                  <w:shd w:val="clear" w:color="auto" w:fill="auto"/>
                  <w:hideMark/>
                </w:tcPr>
                <w:p w14:paraId="238390E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095BB7D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14:paraId="3098E7E1"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425"/>
              <w:gridCol w:w="8533"/>
            </w:tblGrid>
            <w:tr w:rsidR="001D7BC7" w:rsidRPr="005A006E" w14:paraId="58D2BBEB" w14:textId="77777777" w:rsidTr="00882CDE">
              <w:tc>
                <w:tcPr>
                  <w:tcW w:w="0" w:type="auto"/>
                  <w:shd w:val="clear" w:color="auto" w:fill="auto"/>
                  <w:hideMark/>
                </w:tcPr>
                <w:p w14:paraId="75047C0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4817EC5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becomes aware of any direct access by public authorities to personal data transferred pursuant to these Clauses in accordance with the laws of the country of destination; such notification shall include all information available to the importer.</w:t>
                  </w:r>
                </w:p>
              </w:tc>
            </w:tr>
          </w:tbl>
          <w:p w14:paraId="277FF8F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p>
        </w:tc>
      </w:tr>
    </w:tbl>
    <w:p w14:paraId="471875E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5AF87512" w14:textId="77777777" w:rsidTr="00882CDE">
        <w:tc>
          <w:tcPr>
            <w:tcW w:w="0" w:type="auto"/>
            <w:shd w:val="clear" w:color="auto" w:fill="auto"/>
            <w:hideMark/>
          </w:tcPr>
          <w:p w14:paraId="106F08F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0EB899F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tc>
      </w:tr>
    </w:tbl>
    <w:p w14:paraId="08B01E8A"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124804EE" w14:textId="77777777" w:rsidTr="00882CDE">
        <w:tc>
          <w:tcPr>
            <w:tcW w:w="0" w:type="auto"/>
            <w:shd w:val="clear" w:color="auto" w:fill="auto"/>
            <w:hideMark/>
          </w:tcPr>
          <w:p w14:paraId="6790564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274B63F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5A006E">
              <w:rPr>
                <w:rFonts w:ascii="Times New Roman" w:eastAsia="Times New Roman" w:hAnsi="Times New Roman" w:cs="Times New Roman"/>
                <w:sz w:val="20"/>
                <w:szCs w:val="20"/>
              </w:rPr>
              <w:t>ies</w:t>
            </w:r>
            <w:proofErr w:type="spellEnd"/>
            <w:r w:rsidRPr="005A006E">
              <w:rPr>
                <w:rFonts w:ascii="Times New Roman" w:eastAsia="Times New Roman" w:hAnsi="Times New Roman" w:cs="Times New Roman"/>
                <w:sz w:val="20"/>
                <w:szCs w:val="20"/>
              </w:rPr>
              <w:t xml:space="preserve">, whether requests have been challenged and the outcome of such challenges, etc.). </w:t>
            </w:r>
          </w:p>
        </w:tc>
      </w:tr>
    </w:tbl>
    <w:p w14:paraId="6FF1E963"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430AC4A0" w14:textId="77777777" w:rsidTr="00882CDE">
        <w:tc>
          <w:tcPr>
            <w:tcW w:w="0" w:type="auto"/>
            <w:shd w:val="clear" w:color="auto" w:fill="auto"/>
            <w:hideMark/>
          </w:tcPr>
          <w:p w14:paraId="2E936D6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68D80A2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to preserve the information pursuant to paragraphs (a) to (c) for the duration of the contract and make it available to the competent supervisory authority on request.</w:t>
            </w:r>
          </w:p>
        </w:tc>
      </w:tr>
    </w:tbl>
    <w:p w14:paraId="0F260006"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1F2025EF" w14:textId="77777777" w:rsidTr="00882CDE">
        <w:tc>
          <w:tcPr>
            <w:tcW w:w="0" w:type="auto"/>
            <w:shd w:val="clear" w:color="auto" w:fill="auto"/>
            <w:hideMark/>
          </w:tcPr>
          <w:p w14:paraId="3FDBAE1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69B3506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Paragraphs (a) to (c) are without prejudice to the obligation of the data importer pursuant to Clause 14(e) and Clause 16 to inform the data exporter promptly where it is unable to comply with these Clauses.</w:t>
            </w:r>
          </w:p>
        </w:tc>
      </w:tr>
    </w:tbl>
    <w:p w14:paraId="2F5C033D"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 xml:space="preserve">15.2   Review of legality and data </w:t>
      </w:r>
      <w:proofErr w:type="spellStart"/>
      <w:r w:rsidRPr="005A006E">
        <w:rPr>
          <w:rFonts w:ascii="Times New Roman" w:eastAsia="Times New Roman" w:hAnsi="Times New Roman" w:cs="Times New Roman"/>
          <w:b/>
          <w:bCs/>
          <w:color w:val="000000"/>
          <w:sz w:val="20"/>
          <w:szCs w:val="20"/>
        </w:rPr>
        <w:t>minimisation</w:t>
      </w:r>
      <w:proofErr w:type="spellEnd"/>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A8673E5" w14:textId="77777777" w:rsidTr="00882CDE">
        <w:tc>
          <w:tcPr>
            <w:tcW w:w="0" w:type="auto"/>
            <w:shd w:val="clear" w:color="auto" w:fill="auto"/>
            <w:hideMark/>
          </w:tcPr>
          <w:p w14:paraId="77F5049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0DBDEEF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14:paraId="2318E811"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28B28ACA" w14:textId="77777777" w:rsidTr="00882CDE">
        <w:tc>
          <w:tcPr>
            <w:tcW w:w="0" w:type="auto"/>
            <w:shd w:val="clear" w:color="auto" w:fill="auto"/>
            <w:hideMark/>
          </w:tcPr>
          <w:p w14:paraId="0D8B9FC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407D79B2"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tc>
      </w:tr>
    </w:tbl>
    <w:p w14:paraId="64833B27"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3A87A94A" w14:textId="77777777" w:rsidTr="00882CDE">
        <w:tc>
          <w:tcPr>
            <w:tcW w:w="0" w:type="auto"/>
            <w:shd w:val="clear" w:color="auto" w:fill="auto"/>
            <w:hideMark/>
          </w:tcPr>
          <w:p w14:paraId="198123D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0A49567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agrees to provide the minimum amount of information permissible when responding to a request for disclosure, based on a reasonable interpretation of the request.</w:t>
            </w:r>
          </w:p>
        </w:tc>
      </w:tr>
    </w:tbl>
    <w:p w14:paraId="01765859" w14:textId="77777777" w:rsidR="001D7BC7" w:rsidRPr="005A006E" w:rsidRDefault="001D7BC7" w:rsidP="001D7BC7">
      <w:pPr>
        <w:shd w:val="clear" w:color="auto" w:fill="FFFFFF"/>
        <w:spacing w:before="240" w:after="120" w:line="240" w:lineRule="auto"/>
        <w:ind w:left="180"/>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SECTION IV – FINAL PROVISIONS</w:t>
      </w:r>
    </w:p>
    <w:p w14:paraId="3428075A"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16</w:t>
      </w:r>
    </w:p>
    <w:p w14:paraId="7EAEEA4C" w14:textId="77777777" w:rsidR="001D7BC7" w:rsidRPr="005A006E" w:rsidRDefault="001D7BC7" w:rsidP="001D7BC7">
      <w:pPr>
        <w:shd w:val="clear" w:color="auto" w:fill="FFFFFF"/>
        <w:spacing w:before="240" w:after="120" w:line="240" w:lineRule="auto"/>
        <w:ind w:left="180"/>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Non-compliance with the Clauses and termination</w:t>
      </w: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60D32105" w14:textId="77777777" w:rsidTr="00882CDE">
        <w:tc>
          <w:tcPr>
            <w:tcW w:w="0" w:type="auto"/>
            <w:shd w:val="clear" w:color="auto" w:fill="auto"/>
            <w:hideMark/>
          </w:tcPr>
          <w:p w14:paraId="175F72D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43C467E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shall promptly inform the data exporter if it is unable to comply with these Clauses, for whatever reason.</w:t>
            </w:r>
          </w:p>
        </w:tc>
      </w:tr>
    </w:tbl>
    <w:p w14:paraId="1EA6B2AE"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731698CA" w14:textId="77777777" w:rsidTr="00882CDE">
        <w:tc>
          <w:tcPr>
            <w:tcW w:w="0" w:type="auto"/>
            <w:shd w:val="clear" w:color="auto" w:fill="auto"/>
            <w:hideMark/>
          </w:tcPr>
          <w:p w14:paraId="7C218C5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2E1191E4"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14:paraId="44F069BB"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79344F3" w14:textId="77777777" w:rsidTr="00882CDE">
        <w:tc>
          <w:tcPr>
            <w:tcW w:w="0" w:type="auto"/>
            <w:shd w:val="clear" w:color="auto" w:fill="auto"/>
            <w:hideMark/>
          </w:tcPr>
          <w:p w14:paraId="5614F796"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7D6B085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exporter shall be entitled to terminate the contract, insofar as it concerns the processing of personal data under these Clauses, where:</w:t>
            </w:r>
          </w:p>
          <w:tbl>
            <w:tblPr>
              <w:tblW w:w="5000" w:type="pct"/>
              <w:tblCellMar>
                <w:left w:w="0" w:type="dxa"/>
                <w:right w:w="0" w:type="dxa"/>
              </w:tblCellMar>
              <w:tblLook w:val="04A0" w:firstRow="1" w:lastRow="0" w:firstColumn="1" w:lastColumn="0" w:noHBand="0" w:noVBand="1"/>
            </w:tblPr>
            <w:tblGrid>
              <w:gridCol w:w="369"/>
              <w:gridCol w:w="8589"/>
            </w:tblGrid>
            <w:tr w:rsidR="001D7BC7" w:rsidRPr="005A006E" w14:paraId="5997AD46" w14:textId="77777777" w:rsidTr="00882CDE">
              <w:tc>
                <w:tcPr>
                  <w:tcW w:w="0" w:type="auto"/>
                  <w:shd w:val="clear" w:color="auto" w:fill="auto"/>
                  <w:hideMark/>
                </w:tcPr>
                <w:p w14:paraId="0E2CAD9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w:t>
                  </w:r>
                </w:p>
              </w:tc>
              <w:tc>
                <w:tcPr>
                  <w:tcW w:w="0" w:type="auto"/>
                  <w:shd w:val="clear" w:color="auto" w:fill="auto"/>
                  <w:hideMark/>
                </w:tcPr>
                <w:p w14:paraId="630BDFD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exporter has suspended the transfer of personal data to the data importer pursuant to paragraph (b) and compliance with these Clauses is not restored within a reasonable time and in any event within one month of suspension;</w:t>
                  </w:r>
                </w:p>
              </w:tc>
            </w:tr>
          </w:tbl>
          <w:p w14:paraId="2ADF32AB"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585"/>
              <w:gridCol w:w="8373"/>
            </w:tblGrid>
            <w:tr w:rsidR="001D7BC7" w:rsidRPr="005A006E" w14:paraId="78A81B6F" w14:textId="77777777" w:rsidTr="00882CDE">
              <w:tc>
                <w:tcPr>
                  <w:tcW w:w="0" w:type="auto"/>
                  <w:shd w:val="clear" w:color="auto" w:fill="auto"/>
                  <w:hideMark/>
                </w:tcPr>
                <w:p w14:paraId="4FA7949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w:t>
                  </w:r>
                </w:p>
              </w:tc>
              <w:tc>
                <w:tcPr>
                  <w:tcW w:w="0" w:type="auto"/>
                  <w:shd w:val="clear" w:color="auto" w:fill="auto"/>
                  <w:hideMark/>
                </w:tcPr>
                <w:p w14:paraId="6AFCA08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is in substantial or persistent breach of these Clauses; or</w:t>
                  </w:r>
                </w:p>
              </w:tc>
            </w:tr>
          </w:tbl>
          <w:p w14:paraId="643165D6" w14:textId="77777777" w:rsidR="001D7BC7" w:rsidRPr="005A006E" w:rsidRDefault="001D7BC7" w:rsidP="00882CDE">
            <w:pPr>
              <w:spacing w:after="0" w:line="240" w:lineRule="auto"/>
              <w:ind w:left="180"/>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480"/>
              <w:gridCol w:w="8478"/>
            </w:tblGrid>
            <w:tr w:rsidR="001D7BC7" w:rsidRPr="005A006E" w14:paraId="3DE0757F" w14:textId="77777777" w:rsidTr="00882CDE">
              <w:tc>
                <w:tcPr>
                  <w:tcW w:w="0" w:type="auto"/>
                  <w:shd w:val="clear" w:color="auto" w:fill="auto"/>
                  <w:hideMark/>
                </w:tcPr>
                <w:p w14:paraId="561CADF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(iii)</w:t>
                  </w:r>
                </w:p>
              </w:tc>
              <w:tc>
                <w:tcPr>
                  <w:tcW w:w="0" w:type="auto"/>
                  <w:shd w:val="clear" w:color="auto" w:fill="auto"/>
                  <w:hideMark/>
                </w:tcPr>
                <w:p w14:paraId="254AB3C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data importer fails to comply with a binding decision of a competent court or supervisory authority regarding its obligations under these Clauses.</w:t>
                  </w:r>
                </w:p>
              </w:tc>
            </w:tr>
          </w:tbl>
          <w:p w14:paraId="6708618D"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tc>
      </w:tr>
    </w:tbl>
    <w:p w14:paraId="77C8F93D"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14"/>
        <w:gridCol w:w="8946"/>
      </w:tblGrid>
      <w:tr w:rsidR="001D7BC7" w:rsidRPr="005A006E" w14:paraId="4927172C" w14:textId="77777777" w:rsidTr="00882CDE">
        <w:tc>
          <w:tcPr>
            <w:tcW w:w="0" w:type="auto"/>
            <w:shd w:val="clear" w:color="auto" w:fill="auto"/>
            <w:hideMark/>
          </w:tcPr>
          <w:p w14:paraId="740E86A1"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lastRenderedPageBreak/>
              <w:t>(d)</w:t>
            </w:r>
          </w:p>
        </w:tc>
        <w:tc>
          <w:tcPr>
            <w:tcW w:w="0" w:type="auto"/>
            <w:shd w:val="clear" w:color="auto" w:fill="auto"/>
            <w:hideMark/>
          </w:tcPr>
          <w:p w14:paraId="6C4FB6D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r>
    </w:tbl>
    <w:p w14:paraId="7BB0D98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73C5631" w14:textId="77777777" w:rsidTr="00882CDE">
        <w:tc>
          <w:tcPr>
            <w:tcW w:w="0" w:type="auto"/>
            <w:shd w:val="clear" w:color="auto" w:fill="auto"/>
            <w:hideMark/>
          </w:tcPr>
          <w:p w14:paraId="4A973657"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w:t>
            </w:r>
          </w:p>
        </w:tc>
        <w:tc>
          <w:tcPr>
            <w:tcW w:w="0" w:type="auto"/>
            <w:shd w:val="clear" w:color="auto" w:fill="auto"/>
            <w:hideMark/>
          </w:tcPr>
          <w:p w14:paraId="260C76F5"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Either Party may revoke its agreement to be bound by these Clauses where (</w:t>
            </w:r>
            <w:proofErr w:type="spellStart"/>
            <w:r w:rsidRPr="005A006E">
              <w:rPr>
                <w:rFonts w:ascii="Times New Roman" w:eastAsia="Times New Roman" w:hAnsi="Times New Roman" w:cs="Times New Roman"/>
                <w:sz w:val="20"/>
                <w:szCs w:val="20"/>
              </w:rPr>
              <w:t>i</w:t>
            </w:r>
            <w:proofErr w:type="spellEnd"/>
            <w:r w:rsidRPr="005A006E">
              <w:rPr>
                <w:rFonts w:ascii="Times New Roman" w:eastAsia="Times New Roman" w:hAnsi="Times New Roman" w:cs="Times New Roman"/>
                <w:sz w:val="20"/>
                <w:szCs w:val="20"/>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14:paraId="70C370B0"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17</w:t>
      </w:r>
    </w:p>
    <w:p w14:paraId="14C6F671"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Governing law</w:t>
      </w:r>
    </w:p>
    <w:p w14:paraId="2FE9131C"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1B8EECA5" w14:textId="182637ED"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 xml:space="preserve">[OPTION 1: These Clauses shall be governed by the law of one of the EU Member States, provided such law allows for third-party beneficiary rights. The Parties agree that this shall be the law of </w:t>
      </w:r>
      <w:r w:rsidR="008C531A">
        <w:rPr>
          <w:rFonts w:ascii="Times New Roman" w:eastAsia="Times New Roman" w:hAnsi="Times New Roman" w:cs="Times New Roman"/>
          <w:color w:val="000000"/>
          <w:sz w:val="20"/>
          <w:szCs w:val="20"/>
        </w:rPr>
        <w:fldChar w:fldCharType="begin">
          <w:ffData>
            <w:name w:val="Text9"/>
            <w:enabled/>
            <w:calcOnExit w:val="0"/>
            <w:textInput/>
          </w:ffData>
        </w:fldChar>
      </w:r>
      <w:bookmarkStart w:id="11" w:name="Text9"/>
      <w:r w:rsidR="008C531A">
        <w:rPr>
          <w:rFonts w:ascii="Times New Roman" w:eastAsia="Times New Roman" w:hAnsi="Times New Roman" w:cs="Times New Roman"/>
          <w:color w:val="000000"/>
          <w:sz w:val="20"/>
          <w:szCs w:val="20"/>
        </w:rPr>
        <w:instrText xml:space="preserve"> FORMTEXT </w:instrText>
      </w:r>
      <w:r w:rsidR="008C531A">
        <w:rPr>
          <w:rFonts w:ascii="Times New Roman" w:eastAsia="Times New Roman" w:hAnsi="Times New Roman" w:cs="Times New Roman"/>
          <w:color w:val="000000"/>
          <w:sz w:val="20"/>
          <w:szCs w:val="20"/>
        </w:rPr>
      </w:r>
      <w:r w:rsidR="008C531A">
        <w:rPr>
          <w:rFonts w:ascii="Times New Roman" w:eastAsia="Times New Roman" w:hAnsi="Times New Roman" w:cs="Times New Roman"/>
          <w:color w:val="000000"/>
          <w:sz w:val="20"/>
          <w:szCs w:val="20"/>
        </w:rPr>
        <w:fldChar w:fldCharType="separate"/>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color w:val="000000"/>
          <w:sz w:val="20"/>
          <w:szCs w:val="20"/>
        </w:rPr>
        <w:fldChar w:fldCharType="end"/>
      </w:r>
      <w:bookmarkEnd w:id="11"/>
      <w:r w:rsidRPr="005A006E">
        <w:rPr>
          <w:rFonts w:ascii="Times New Roman" w:eastAsia="Times New Roman" w:hAnsi="Times New Roman" w:cs="Times New Roman"/>
          <w:color w:val="000000"/>
          <w:sz w:val="20"/>
          <w:szCs w:val="20"/>
        </w:rPr>
        <w:t>(</w:t>
      </w:r>
      <w:r w:rsidRPr="005A006E">
        <w:rPr>
          <w:rFonts w:ascii="Times New Roman" w:eastAsia="Times New Roman" w:hAnsi="Times New Roman" w:cs="Times New Roman"/>
          <w:i/>
          <w:iCs/>
          <w:color w:val="000000"/>
          <w:sz w:val="20"/>
          <w:szCs w:val="20"/>
        </w:rPr>
        <w:t>specify Member State</w:t>
      </w:r>
      <w:r w:rsidRPr="005A006E">
        <w:rPr>
          <w:rFonts w:ascii="Times New Roman" w:eastAsia="Times New Roman" w:hAnsi="Times New Roman" w:cs="Times New Roman"/>
          <w:color w:val="000000"/>
          <w:sz w:val="20"/>
          <w:szCs w:val="20"/>
        </w:rPr>
        <w:t>).]</w:t>
      </w:r>
    </w:p>
    <w:p w14:paraId="551936C1" w14:textId="1A452B8C"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 xml:space="preserve">[OPTION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8C531A">
        <w:rPr>
          <w:rFonts w:ascii="Times New Roman" w:eastAsia="Times New Roman" w:hAnsi="Times New Roman" w:cs="Times New Roman"/>
          <w:color w:val="000000"/>
          <w:sz w:val="20"/>
          <w:szCs w:val="20"/>
        </w:rPr>
        <w:fldChar w:fldCharType="begin">
          <w:ffData>
            <w:name w:val="Text10"/>
            <w:enabled/>
            <w:calcOnExit w:val="0"/>
            <w:textInput/>
          </w:ffData>
        </w:fldChar>
      </w:r>
      <w:bookmarkStart w:id="12" w:name="Text10"/>
      <w:r w:rsidR="008C531A">
        <w:rPr>
          <w:rFonts w:ascii="Times New Roman" w:eastAsia="Times New Roman" w:hAnsi="Times New Roman" w:cs="Times New Roman"/>
          <w:color w:val="000000"/>
          <w:sz w:val="20"/>
          <w:szCs w:val="20"/>
        </w:rPr>
        <w:instrText xml:space="preserve"> FORMTEXT </w:instrText>
      </w:r>
      <w:r w:rsidR="008C531A">
        <w:rPr>
          <w:rFonts w:ascii="Times New Roman" w:eastAsia="Times New Roman" w:hAnsi="Times New Roman" w:cs="Times New Roman"/>
          <w:color w:val="000000"/>
          <w:sz w:val="20"/>
          <w:szCs w:val="20"/>
        </w:rPr>
      </w:r>
      <w:r w:rsidR="008C531A">
        <w:rPr>
          <w:rFonts w:ascii="Times New Roman" w:eastAsia="Times New Roman" w:hAnsi="Times New Roman" w:cs="Times New Roman"/>
          <w:color w:val="000000"/>
          <w:sz w:val="20"/>
          <w:szCs w:val="20"/>
        </w:rPr>
        <w:fldChar w:fldCharType="separate"/>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noProof/>
          <w:color w:val="000000"/>
          <w:sz w:val="20"/>
          <w:szCs w:val="20"/>
        </w:rPr>
        <w:t> </w:t>
      </w:r>
      <w:r w:rsidR="008C531A">
        <w:rPr>
          <w:rFonts w:ascii="Times New Roman" w:eastAsia="Times New Roman" w:hAnsi="Times New Roman" w:cs="Times New Roman"/>
          <w:color w:val="000000"/>
          <w:sz w:val="20"/>
          <w:szCs w:val="20"/>
        </w:rPr>
        <w:fldChar w:fldCharType="end"/>
      </w:r>
      <w:bookmarkEnd w:id="12"/>
      <w:r w:rsidRPr="005A006E">
        <w:rPr>
          <w:rFonts w:ascii="Times New Roman" w:eastAsia="Times New Roman" w:hAnsi="Times New Roman" w:cs="Times New Roman"/>
          <w:color w:val="000000"/>
          <w:sz w:val="20"/>
          <w:szCs w:val="20"/>
        </w:rPr>
        <w:t>(</w:t>
      </w:r>
      <w:r w:rsidRPr="005A006E">
        <w:rPr>
          <w:rFonts w:ascii="Times New Roman" w:eastAsia="Times New Roman" w:hAnsi="Times New Roman" w:cs="Times New Roman"/>
          <w:i/>
          <w:iCs/>
          <w:color w:val="000000"/>
          <w:sz w:val="20"/>
          <w:szCs w:val="20"/>
        </w:rPr>
        <w:t>specify Member State</w:t>
      </w:r>
      <w:r w:rsidRPr="005A006E">
        <w:rPr>
          <w:rFonts w:ascii="Times New Roman" w:eastAsia="Times New Roman" w:hAnsi="Times New Roman" w:cs="Times New Roman"/>
          <w:color w:val="000000"/>
          <w:sz w:val="20"/>
          <w:szCs w:val="20"/>
        </w:rPr>
        <w:t>).]</w:t>
      </w:r>
    </w:p>
    <w:p w14:paraId="43566886"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i/>
          <w:iCs/>
          <w:color w:val="000000"/>
          <w:sz w:val="20"/>
          <w:szCs w:val="20"/>
        </w:rPr>
        <w:t>Clause 18</w:t>
      </w:r>
    </w:p>
    <w:p w14:paraId="64F4B16C"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Choice of forum and jurisdiction</w:t>
      </w:r>
    </w:p>
    <w:p w14:paraId="1A4766C9"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tbl>
      <w:tblPr>
        <w:tblW w:w="5000" w:type="pct"/>
        <w:tblCellMar>
          <w:left w:w="0" w:type="dxa"/>
          <w:right w:w="0" w:type="dxa"/>
        </w:tblCellMar>
        <w:tblLook w:val="04A0" w:firstRow="1" w:lastRow="0" w:firstColumn="1" w:lastColumn="0" w:noHBand="0" w:noVBand="1"/>
      </w:tblPr>
      <w:tblGrid>
        <w:gridCol w:w="459"/>
        <w:gridCol w:w="8901"/>
      </w:tblGrid>
      <w:tr w:rsidR="001D7BC7" w:rsidRPr="005A006E" w14:paraId="49F39F30" w14:textId="77777777" w:rsidTr="00882CDE">
        <w:tc>
          <w:tcPr>
            <w:tcW w:w="0" w:type="auto"/>
            <w:shd w:val="clear" w:color="auto" w:fill="auto"/>
            <w:hideMark/>
          </w:tcPr>
          <w:p w14:paraId="403EEBBC"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w:t>
            </w:r>
          </w:p>
        </w:tc>
        <w:tc>
          <w:tcPr>
            <w:tcW w:w="0" w:type="auto"/>
            <w:shd w:val="clear" w:color="auto" w:fill="auto"/>
            <w:hideMark/>
          </w:tcPr>
          <w:p w14:paraId="48E66669"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Any dispute arising from these Clauses shall be resolved by the courts of an EU Member State.</w:t>
            </w:r>
          </w:p>
        </w:tc>
      </w:tr>
    </w:tbl>
    <w:p w14:paraId="222ED47F"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555"/>
        <w:gridCol w:w="8805"/>
      </w:tblGrid>
      <w:tr w:rsidR="001D7BC7" w:rsidRPr="005A006E" w14:paraId="7C81BBD0" w14:textId="77777777" w:rsidTr="00882CDE">
        <w:tc>
          <w:tcPr>
            <w:tcW w:w="0" w:type="auto"/>
            <w:shd w:val="clear" w:color="auto" w:fill="auto"/>
            <w:hideMark/>
          </w:tcPr>
          <w:p w14:paraId="799AE0BA"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(b)</w:t>
            </w:r>
          </w:p>
        </w:tc>
        <w:tc>
          <w:tcPr>
            <w:tcW w:w="0" w:type="auto"/>
            <w:shd w:val="clear" w:color="auto" w:fill="auto"/>
            <w:hideMark/>
          </w:tcPr>
          <w:p w14:paraId="45AC428C" w14:textId="24D0A32A"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The Parties agree that those shall be the courts of </w:t>
            </w:r>
            <w:r w:rsidR="008C531A">
              <w:rPr>
                <w:rFonts w:ascii="Times New Roman" w:eastAsia="Times New Roman" w:hAnsi="Times New Roman" w:cs="Times New Roman"/>
                <w:sz w:val="20"/>
                <w:szCs w:val="20"/>
              </w:rPr>
              <w:fldChar w:fldCharType="begin">
                <w:ffData>
                  <w:name w:val="Text11"/>
                  <w:enabled/>
                  <w:calcOnExit w:val="0"/>
                  <w:textInput/>
                </w:ffData>
              </w:fldChar>
            </w:r>
            <w:bookmarkStart w:id="13" w:name="Text11"/>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3"/>
            <w:r w:rsidRPr="005A006E">
              <w:rPr>
                <w:rFonts w:ascii="Times New Roman" w:eastAsia="Times New Roman" w:hAnsi="Times New Roman" w:cs="Times New Roman"/>
                <w:sz w:val="20"/>
                <w:szCs w:val="20"/>
              </w:rPr>
              <w:t>(</w:t>
            </w:r>
            <w:r w:rsidRPr="005A006E">
              <w:rPr>
                <w:rFonts w:ascii="Times New Roman" w:eastAsia="Times New Roman" w:hAnsi="Times New Roman" w:cs="Times New Roman"/>
                <w:i/>
                <w:iCs/>
                <w:sz w:val="20"/>
                <w:szCs w:val="20"/>
              </w:rPr>
              <w:t>specify Member State</w:t>
            </w:r>
            <w:r w:rsidRPr="005A006E">
              <w:rPr>
                <w:rFonts w:ascii="Times New Roman" w:eastAsia="Times New Roman" w:hAnsi="Times New Roman" w:cs="Times New Roman"/>
                <w:sz w:val="20"/>
                <w:szCs w:val="20"/>
              </w:rPr>
              <w:t>).</w:t>
            </w:r>
          </w:p>
        </w:tc>
      </w:tr>
    </w:tbl>
    <w:p w14:paraId="180F1B4B"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402"/>
        <w:gridCol w:w="8958"/>
      </w:tblGrid>
      <w:tr w:rsidR="001D7BC7" w:rsidRPr="005A006E" w14:paraId="4E90E6A1" w14:textId="77777777" w:rsidTr="00882CDE">
        <w:tc>
          <w:tcPr>
            <w:tcW w:w="0" w:type="auto"/>
            <w:shd w:val="clear" w:color="auto" w:fill="auto"/>
            <w:hideMark/>
          </w:tcPr>
          <w:p w14:paraId="1696C21F"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w:t>
            </w:r>
          </w:p>
        </w:tc>
        <w:tc>
          <w:tcPr>
            <w:tcW w:w="0" w:type="auto"/>
            <w:shd w:val="clear" w:color="auto" w:fill="auto"/>
            <w:hideMark/>
          </w:tcPr>
          <w:p w14:paraId="30A1E9BE"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A data subject may also bring legal proceedings against the data exporter and/or data importer before the courts of the Member State in which he/she has his/her habitual residence.</w:t>
            </w:r>
          </w:p>
        </w:tc>
      </w:tr>
    </w:tbl>
    <w:p w14:paraId="27EC88B4" w14:textId="77777777" w:rsidR="001D7BC7" w:rsidRPr="005A006E" w:rsidRDefault="001D7BC7" w:rsidP="001D7BC7">
      <w:pPr>
        <w:shd w:val="clear" w:color="auto" w:fill="FFFFFF"/>
        <w:spacing w:after="0" w:line="240" w:lineRule="auto"/>
        <w:ind w:left="180"/>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605"/>
        <w:gridCol w:w="8755"/>
      </w:tblGrid>
      <w:tr w:rsidR="001D7BC7" w:rsidRPr="005A006E" w14:paraId="46071641" w14:textId="77777777" w:rsidTr="00882CDE">
        <w:tc>
          <w:tcPr>
            <w:tcW w:w="0" w:type="auto"/>
            <w:shd w:val="clear" w:color="auto" w:fill="auto"/>
            <w:hideMark/>
          </w:tcPr>
          <w:p w14:paraId="38452F8B"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(d)</w:t>
            </w:r>
          </w:p>
        </w:tc>
        <w:tc>
          <w:tcPr>
            <w:tcW w:w="0" w:type="auto"/>
            <w:shd w:val="clear" w:color="auto" w:fill="auto"/>
            <w:hideMark/>
          </w:tcPr>
          <w:p w14:paraId="513DAC48" w14:textId="77777777" w:rsidR="001D7BC7" w:rsidRPr="005A006E" w:rsidRDefault="001D7BC7" w:rsidP="00882CDE">
            <w:pPr>
              <w:spacing w:before="120" w:after="0" w:line="240" w:lineRule="auto"/>
              <w:ind w:left="180"/>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The Parties agree to submit themselves to the jurisdiction of such courts.</w:t>
            </w:r>
          </w:p>
        </w:tc>
      </w:tr>
    </w:tbl>
    <w:p w14:paraId="18ED9C20" w14:textId="77777777" w:rsidR="001D7BC7" w:rsidRPr="005A006E" w:rsidRDefault="00143C8B" w:rsidP="001D7BC7">
      <w:pPr>
        <w:shd w:val="clear" w:color="auto" w:fill="FFFFFF"/>
        <w:spacing w:before="240"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7D9EA683">
          <v:rect id="_x0000_i1026" style="width:133.25pt;height:.75pt" o:hrpct="0" o:hrstd="t" o:hrnoshade="t" o:hr="t" fillcolor="black" stroked="f"/>
        </w:pict>
      </w:r>
    </w:p>
    <w:p w14:paraId="6E8B294D"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0" w:anchor="ntc1-L_2021199EN.01003701-E0001"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1</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1" w:history="1">
        <w:r w:rsidR="001D7BC7" w:rsidRPr="005A006E">
          <w:rPr>
            <w:rFonts w:ascii="Times New Roman" w:eastAsia="Times New Roman" w:hAnsi="Times New Roman" w:cs="Times New Roman"/>
            <w:color w:val="3366CC"/>
            <w:sz w:val="20"/>
            <w:szCs w:val="20"/>
          </w:rPr>
          <w:t>OJ L 295, 21.11.2018, p. 39</w:t>
        </w:r>
      </w:hyperlink>
      <w:r w:rsidR="001D7BC7" w:rsidRPr="005A006E">
        <w:rPr>
          <w:rFonts w:ascii="Times New Roman" w:eastAsia="Times New Roman" w:hAnsi="Times New Roman" w:cs="Times New Roman"/>
          <w:color w:val="000000"/>
          <w:sz w:val="20"/>
          <w:szCs w:val="20"/>
        </w:rPr>
        <w:t xml:space="preserve">), to the extent these Clauses and the data protection obligations as set out in the contract or other legal act between the controller and </w:t>
      </w:r>
      <w:r w:rsidR="001D7BC7" w:rsidRPr="005A006E">
        <w:rPr>
          <w:rFonts w:ascii="Times New Roman" w:eastAsia="Times New Roman" w:hAnsi="Times New Roman" w:cs="Times New Roman"/>
          <w:color w:val="000000"/>
          <w:sz w:val="20"/>
          <w:szCs w:val="20"/>
        </w:rPr>
        <w:lastRenderedPageBreak/>
        <w:t>the processor pursuant to Article 29(3) of Regulation (EU) 2018/1725 are aligned. This will in particular be the case where the controller and processor rely on the standard contractual clauses included in Decision 2021/915.</w:t>
      </w:r>
    </w:p>
    <w:p w14:paraId="6BBC5938"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2" w:anchor="ntc2-L_2021199EN.01003701-E0002"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2</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This requires rendering the data anonymous in such a way that the individual is no longer identifiable by anyone, in line with recital 26 of Regulation (EU) 2016/679, and that this process is irreversible.</w:t>
      </w:r>
    </w:p>
    <w:p w14:paraId="33B7A910"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3" w:anchor="ntc3-L_2021199EN.01003701-E0003"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3</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27DD9E0F"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4" w:anchor="ntc4-L_2021199EN.01003701-E0004"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4</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7C0577B8"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5" w:anchor="ntc5-L_2021199EN.01003701-E0005"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5</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See Article 28(4) of Regulation (EU) 2016/679 and, where the controller is an EU institution or body, Article 29(4) of Regulation (EU) 2018/1725.</w:t>
      </w:r>
    </w:p>
    <w:p w14:paraId="78CEB89D"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6" w:anchor="ntc6-L_2021199EN.01003701-E0006"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6</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2D8D5918"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7" w:anchor="ntc7-L_2021199EN.01003701-E0007"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7</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14:paraId="229FC384"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8" w:anchor="ntc8-L_2021199EN.01003701-E0008"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8</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This requirement may be satisfied by the sub-processor acceding to these Clauses under the appropriate Module, in accordance with Clause 7.</w:t>
      </w:r>
    </w:p>
    <w:p w14:paraId="661C519A"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19" w:anchor="ntc9-L_2021199EN.01003701-E0009"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9</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This requirement may be satisfied by the sub-processor acceding to these Clauses under the appropriate Module, in accordance with Clause 7.</w:t>
      </w:r>
    </w:p>
    <w:p w14:paraId="6773790E"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20" w:anchor="ntc10-L_2021199EN.01003701-E0010"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10</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That period may be extended by a maximum of two more months, to the extent necessary taking into account the complexity and number of requests. The data importer shall duly and promptly inform the data subject of any such extension.</w:t>
      </w:r>
    </w:p>
    <w:p w14:paraId="53F7EE71"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21" w:anchor="ntc11-L_2021199EN.01003701-E0011"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11</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The data importer may offer independent dispute resolution through an arbitration body only if it is established in a country that has ratified the New York Convention on Enforcement of Arbitration Awards.</w:t>
      </w:r>
    </w:p>
    <w:p w14:paraId="69835584" w14:textId="77777777" w:rsidR="001D7BC7" w:rsidRPr="005A006E" w:rsidRDefault="00143C8B" w:rsidP="001D7BC7">
      <w:pPr>
        <w:shd w:val="clear" w:color="auto" w:fill="FFFFFF"/>
        <w:spacing w:before="60" w:after="60" w:line="240" w:lineRule="auto"/>
        <w:jc w:val="both"/>
        <w:rPr>
          <w:rFonts w:ascii="Times New Roman" w:eastAsia="Times New Roman" w:hAnsi="Times New Roman" w:cs="Times New Roman"/>
          <w:color w:val="000000"/>
          <w:sz w:val="20"/>
          <w:szCs w:val="20"/>
        </w:rPr>
      </w:pPr>
      <w:hyperlink r:id="rId22" w:anchor="ntc12-L_2021199EN.01003701-E0012" w:history="1">
        <w:r w:rsidR="001D7BC7" w:rsidRPr="005A006E">
          <w:rPr>
            <w:rFonts w:ascii="Times New Roman" w:eastAsia="Times New Roman" w:hAnsi="Times New Roman" w:cs="Times New Roman"/>
            <w:color w:val="3366CC"/>
            <w:sz w:val="20"/>
            <w:szCs w:val="20"/>
          </w:rPr>
          <w:t>(</w:t>
        </w:r>
        <w:r w:rsidR="001D7BC7" w:rsidRPr="005A006E">
          <w:rPr>
            <w:rFonts w:ascii="Times New Roman" w:eastAsia="Times New Roman" w:hAnsi="Times New Roman" w:cs="Times New Roman"/>
            <w:color w:val="3366CC"/>
            <w:sz w:val="20"/>
            <w:szCs w:val="20"/>
            <w:vertAlign w:val="superscript"/>
          </w:rPr>
          <w:t>12</w:t>
        </w:r>
        <w:r w:rsidR="001D7BC7" w:rsidRPr="005A006E">
          <w:rPr>
            <w:rFonts w:ascii="Times New Roman" w:eastAsia="Times New Roman" w:hAnsi="Times New Roman" w:cs="Times New Roman"/>
            <w:color w:val="3366CC"/>
            <w:sz w:val="20"/>
            <w:szCs w:val="20"/>
          </w:rPr>
          <w:t>)</w:t>
        </w:r>
      </w:hyperlink>
      <w:r w:rsidR="001D7BC7" w:rsidRPr="005A006E">
        <w:rPr>
          <w:rFonts w:ascii="Times New Roman" w:eastAsia="Times New Roman" w:hAnsi="Times New Roman" w:cs="Times New Roman"/>
          <w:color w:val="000000"/>
          <w:sz w:val="20"/>
          <w:szCs w:val="20"/>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6E749B71" w14:textId="77777777" w:rsidR="001D7BC7" w:rsidRPr="005A006E" w:rsidRDefault="00143C8B" w:rsidP="001D7BC7">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A66ECB8">
          <v:rect id="_x0000_i1027" style="width:66.65pt;height:.75pt" o:hrpct="0" o:hralign="center" o:hrstd="t" o:hrnoshade="t" o:hr="t" fillcolor="black" stroked="f"/>
        </w:pict>
      </w:r>
    </w:p>
    <w:p w14:paraId="0A7C2CE0"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APPENDIX</w:t>
      </w:r>
    </w:p>
    <w:p w14:paraId="58D2335D"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EXPLANATORY NOTE:</w:t>
      </w:r>
    </w:p>
    <w:p w14:paraId="1309542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lastRenderedPageBreak/>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67EDF5B7" w14:textId="77777777" w:rsidR="001D7BC7" w:rsidRPr="005A006E" w:rsidRDefault="001D7BC7" w:rsidP="001D7BC7">
      <w:pPr>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br w:type="page"/>
      </w:r>
    </w:p>
    <w:p w14:paraId="2EF86B5D" w14:textId="77777777" w:rsidR="001D7BC7" w:rsidRPr="005A006E" w:rsidRDefault="00143C8B" w:rsidP="001D7BC7">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pict w14:anchorId="699435DE">
          <v:rect id="_x0000_i1028" style="width:66.65pt;height:.75pt" o:hrpct="0" o:hralign="center" o:hrstd="t" o:hrnoshade="t" o:hr="t" fillcolor="black" stroked="f"/>
        </w:pict>
      </w:r>
    </w:p>
    <w:p w14:paraId="0B3B8842"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ANNEX I</w:t>
      </w:r>
    </w:p>
    <w:p w14:paraId="05E70BAB"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   LIST OF PARTIES</w:t>
      </w:r>
    </w:p>
    <w:p w14:paraId="0BB761BC"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152D2F22"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Data exporter(s):</w:t>
      </w:r>
      <w:r w:rsidRPr="005A006E">
        <w:rPr>
          <w:rFonts w:ascii="Times New Roman" w:eastAsia="Times New Roman" w:hAnsi="Times New Roman" w:cs="Times New Roman"/>
          <w:color w:val="000000"/>
          <w:sz w:val="20"/>
          <w:szCs w:val="20"/>
        </w:rPr>
        <w:t> [</w:t>
      </w:r>
      <w:r w:rsidRPr="005A006E">
        <w:rPr>
          <w:rFonts w:ascii="Times New Roman" w:eastAsia="Times New Roman" w:hAnsi="Times New Roman" w:cs="Times New Roman"/>
          <w:i/>
          <w:iCs/>
          <w:color w:val="000000"/>
          <w:sz w:val="20"/>
          <w:szCs w:val="20"/>
        </w:rPr>
        <w:t>Identity and contact details of the data exporter(s) and, where applicable, of its/their data protection officer and/or representative in the European Union]</w:t>
      </w:r>
    </w:p>
    <w:tbl>
      <w:tblPr>
        <w:tblW w:w="5000" w:type="pct"/>
        <w:tblCellMar>
          <w:left w:w="0" w:type="dxa"/>
          <w:right w:w="0" w:type="dxa"/>
        </w:tblCellMar>
        <w:tblLook w:val="04A0" w:firstRow="1" w:lastRow="0" w:firstColumn="1" w:lastColumn="0" w:noHBand="0" w:noVBand="1"/>
      </w:tblPr>
      <w:tblGrid>
        <w:gridCol w:w="9"/>
        <w:gridCol w:w="248"/>
        <w:gridCol w:w="9103"/>
      </w:tblGrid>
      <w:tr w:rsidR="001D7BC7" w:rsidRPr="005A006E" w14:paraId="34DB3846" w14:textId="77777777" w:rsidTr="00882CDE">
        <w:tc>
          <w:tcPr>
            <w:tcW w:w="0" w:type="auto"/>
            <w:shd w:val="clear" w:color="auto" w:fill="auto"/>
            <w:hideMark/>
          </w:tcPr>
          <w:p w14:paraId="0175E9EC" w14:textId="77777777" w:rsidR="001D7BC7" w:rsidRPr="005A006E" w:rsidRDefault="001D7BC7" w:rsidP="00882CDE">
            <w:pPr>
              <w:spacing w:after="0" w:line="240" w:lineRule="auto"/>
              <w:rPr>
                <w:rFonts w:ascii="Times New Roman" w:eastAsia="Times New Roman" w:hAnsi="Times New Roman" w:cs="Times New Roman"/>
                <w:color w:val="000000"/>
                <w:sz w:val="20"/>
                <w:szCs w:val="20"/>
              </w:rPr>
            </w:pPr>
          </w:p>
        </w:tc>
        <w:tc>
          <w:tcPr>
            <w:tcW w:w="0" w:type="auto"/>
            <w:shd w:val="clear" w:color="auto" w:fill="auto"/>
            <w:hideMark/>
          </w:tcPr>
          <w:p w14:paraId="239BA98D"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1.</w:t>
            </w:r>
          </w:p>
        </w:tc>
        <w:tc>
          <w:tcPr>
            <w:tcW w:w="0" w:type="auto"/>
            <w:shd w:val="clear" w:color="auto" w:fill="auto"/>
            <w:hideMark/>
          </w:tcPr>
          <w:p w14:paraId="25C43D26" w14:textId="50C0DFA6" w:rsidR="001D7BC7" w:rsidRPr="005A006E" w:rsidRDefault="001D7BC7" w:rsidP="00882CDE">
            <w:pPr>
              <w:spacing w:after="0" w:line="240" w:lineRule="auto"/>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Name: </w:t>
            </w:r>
            <w:r w:rsidR="008C531A">
              <w:rPr>
                <w:rFonts w:ascii="Times New Roman" w:eastAsia="Times New Roman" w:hAnsi="Times New Roman" w:cs="Times New Roman"/>
                <w:sz w:val="20"/>
                <w:szCs w:val="20"/>
              </w:rPr>
              <w:t xml:space="preserve"> </w:t>
            </w:r>
            <w:r w:rsidR="008C531A">
              <w:rPr>
                <w:rFonts w:ascii="Times New Roman" w:eastAsia="Times New Roman" w:hAnsi="Times New Roman" w:cs="Times New Roman"/>
                <w:sz w:val="20"/>
                <w:szCs w:val="20"/>
              </w:rPr>
              <w:fldChar w:fldCharType="begin">
                <w:ffData>
                  <w:name w:val="Text12"/>
                  <w:enabled/>
                  <w:calcOnExit w:val="0"/>
                  <w:textInput/>
                </w:ffData>
              </w:fldChar>
            </w:r>
            <w:bookmarkStart w:id="14" w:name="Text12"/>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4"/>
          </w:p>
          <w:p w14:paraId="22990A44" w14:textId="59AA1895" w:rsidR="001D7BC7"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Address: </w:t>
            </w:r>
            <w:r w:rsidR="008C531A">
              <w:rPr>
                <w:rFonts w:ascii="Times New Roman" w:eastAsia="Times New Roman" w:hAnsi="Times New Roman" w:cs="Times New Roman"/>
                <w:sz w:val="20"/>
                <w:szCs w:val="20"/>
              </w:rPr>
              <w:fldChar w:fldCharType="begin">
                <w:ffData>
                  <w:name w:val="Text13"/>
                  <w:enabled/>
                  <w:calcOnExit w:val="0"/>
                  <w:textInput/>
                </w:ffData>
              </w:fldChar>
            </w:r>
            <w:bookmarkStart w:id="15" w:name="Text13"/>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5"/>
          </w:p>
          <w:p w14:paraId="396C4489" w14:textId="28940CD0"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Contact person’s name, position and contact details:</w:t>
            </w:r>
            <w:r w:rsidR="008C531A">
              <w:rPr>
                <w:rFonts w:ascii="Times New Roman" w:eastAsia="Times New Roman" w:hAnsi="Times New Roman" w:cs="Times New Roman"/>
                <w:sz w:val="20"/>
                <w:szCs w:val="20"/>
              </w:rPr>
              <w:t xml:space="preserve">  </w:t>
            </w:r>
            <w:r w:rsidR="008C531A">
              <w:rPr>
                <w:rFonts w:ascii="Times New Roman" w:eastAsia="Times New Roman" w:hAnsi="Times New Roman" w:cs="Times New Roman"/>
                <w:sz w:val="20"/>
                <w:szCs w:val="20"/>
              </w:rPr>
              <w:fldChar w:fldCharType="begin">
                <w:ffData>
                  <w:name w:val="Text14"/>
                  <w:enabled/>
                  <w:calcOnExit w:val="0"/>
                  <w:textInput/>
                </w:ffData>
              </w:fldChar>
            </w:r>
            <w:bookmarkStart w:id="16" w:name="Text14"/>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6"/>
          </w:p>
          <w:p w14:paraId="098E1BC2" w14:textId="7D55A739"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Activities relevant to the data transferred under these Clauses: </w:t>
            </w:r>
            <w:r w:rsidR="008C531A">
              <w:rPr>
                <w:rFonts w:ascii="Times New Roman" w:eastAsia="Times New Roman" w:hAnsi="Times New Roman" w:cs="Times New Roman"/>
                <w:sz w:val="20"/>
                <w:szCs w:val="20"/>
              </w:rPr>
              <w:fldChar w:fldCharType="begin">
                <w:ffData>
                  <w:name w:val="Text15"/>
                  <w:enabled/>
                  <w:calcOnExit w:val="0"/>
                  <w:textInput/>
                </w:ffData>
              </w:fldChar>
            </w:r>
            <w:bookmarkStart w:id="17" w:name="Text15"/>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7"/>
          </w:p>
          <w:p w14:paraId="2BCB88BE" w14:textId="11AB3C9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Signature and date: </w:t>
            </w:r>
            <w:r w:rsidR="008C531A">
              <w:rPr>
                <w:rFonts w:ascii="Times New Roman" w:eastAsia="Times New Roman" w:hAnsi="Times New Roman" w:cs="Times New Roman"/>
                <w:sz w:val="20"/>
                <w:szCs w:val="20"/>
              </w:rPr>
              <w:fldChar w:fldCharType="begin">
                <w:ffData>
                  <w:name w:val="Text16"/>
                  <w:enabled/>
                  <w:calcOnExit w:val="0"/>
                  <w:textInput/>
                </w:ffData>
              </w:fldChar>
            </w:r>
            <w:bookmarkStart w:id="18" w:name="Text16"/>
            <w:r w:rsidR="008C531A">
              <w:rPr>
                <w:rFonts w:ascii="Times New Roman" w:eastAsia="Times New Roman" w:hAnsi="Times New Roman" w:cs="Times New Roman"/>
                <w:sz w:val="20"/>
                <w:szCs w:val="20"/>
              </w:rPr>
              <w:instrText xml:space="preserve"> FORMTEXT </w:instrText>
            </w:r>
            <w:r w:rsidR="008C531A">
              <w:rPr>
                <w:rFonts w:ascii="Times New Roman" w:eastAsia="Times New Roman" w:hAnsi="Times New Roman" w:cs="Times New Roman"/>
                <w:sz w:val="20"/>
                <w:szCs w:val="20"/>
              </w:rPr>
            </w:r>
            <w:r w:rsidR="008C531A">
              <w:rPr>
                <w:rFonts w:ascii="Times New Roman" w:eastAsia="Times New Roman" w:hAnsi="Times New Roman" w:cs="Times New Roman"/>
                <w:sz w:val="20"/>
                <w:szCs w:val="20"/>
              </w:rPr>
              <w:fldChar w:fldCharType="separate"/>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noProof/>
                <w:sz w:val="20"/>
                <w:szCs w:val="20"/>
              </w:rPr>
              <w:t> </w:t>
            </w:r>
            <w:r w:rsidR="008C531A">
              <w:rPr>
                <w:rFonts w:ascii="Times New Roman" w:eastAsia="Times New Roman" w:hAnsi="Times New Roman" w:cs="Times New Roman"/>
                <w:sz w:val="20"/>
                <w:szCs w:val="20"/>
              </w:rPr>
              <w:fldChar w:fldCharType="end"/>
            </w:r>
            <w:bookmarkEnd w:id="18"/>
          </w:p>
          <w:p w14:paraId="3A499B65"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Role (controller/processor):</w:t>
            </w:r>
            <w:r>
              <w:rPr>
                <w:rFonts w:ascii="Times New Roman" w:eastAsia="Times New Roman" w:hAnsi="Times New Roman" w:cs="Times New Roman"/>
                <w:sz w:val="20"/>
                <w:szCs w:val="20"/>
              </w:rPr>
              <w:t xml:space="preserve"> controller</w:t>
            </w:r>
          </w:p>
        </w:tc>
      </w:tr>
    </w:tbl>
    <w:p w14:paraId="590AB350" w14:textId="77777777" w:rsidR="001D7BC7" w:rsidRPr="005A006E" w:rsidRDefault="001D7BC7" w:rsidP="001D7BC7">
      <w:pPr>
        <w:shd w:val="clear" w:color="auto" w:fill="FFFFFF"/>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70"/>
        <w:gridCol w:w="6953"/>
        <w:gridCol w:w="2337"/>
      </w:tblGrid>
      <w:tr w:rsidR="001D7BC7" w:rsidRPr="005A006E" w14:paraId="079F96F6" w14:textId="77777777" w:rsidTr="00882CDE">
        <w:tc>
          <w:tcPr>
            <w:tcW w:w="0" w:type="auto"/>
            <w:shd w:val="clear" w:color="auto" w:fill="auto"/>
            <w:hideMark/>
          </w:tcPr>
          <w:p w14:paraId="0A8DF4C2" w14:textId="77777777" w:rsidR="001D7BC7" w:rsidRPr="005A006E" w:rsidRDefault="001D7BC7" w:rsidP="00882CDE">
            <w:pPr>
              <w:shd w:val="clear" w:color="auto" w:fill="FFFFFF"/>
              <w:spacing w:after="0" w:line="240" w:lineRule="auto"/>
              <w:rPr>
                <w:rFonts w:ascii="Times New Roman" w:eastAsia="Times New Roman" w:hAnsi="Times New Roman" w:cs="Times New Roman"/>
                <w:color w:val="000000"/>
                <w:sz w:val="20"/>
                <w:szCs w:val="20"/>
              </w:rPr>
            </w:pPr>
          </w:p>
        </w:tc>
        <w:tc>
          <w:tcPr>
            <w:tcW w:w="0" w:type="auto"/>
            <w:shd w:val="clear" w:color="auto" w:fill="auto"/>
            <w:hideMark/>
          </w:tcPr>
          <w:p w14:paraId="02F37126"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N/A</w:t>
            </w:r>
          </w:p>
        </w:tc>
        <w:tc>
          <w:tcPr>
            <w:tcW w:w="0" w:type="auto"/>
            <w:shd w:val="clear" w:color="auto" w:fill="auto"/>
            <w:hideMark/>
          </w:tcPr>
          <w:p w14:paraId="50487AE6" w14:textId="77777777" w:rsidR="001D7BC7" w:rsidRPr="005A006E" w:rsidRDefault="001D7BC7" w:rsidP="00882CDE">
            <w:pPr>
              <w:spacing w:after="0" w:line="240" w:lineRule="auto"/>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
        </w:tc>
      </w:tr>
    </w:tbl>
    <w:p w14:paraId="106F17D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Data importer(s):</w:t>
      </w:r>
      <w:r w:rsidRPr="005A006E">
        <w:rPr>
          <w:rFonts w:ascii="Times New Roman" w:eastAsia="Times New Roman" w:hAnsi="Times New Roman" w:cs="Times New Roman"/>
          <w:color w:val="000000"/>
          <w:sz w:val="20"/>
          <w:szCs w:val="20"/>
        </w:rPr>
        <w:t> [</w:t>
      </w:r>
      <w:r w:rsidRPr="005A006E">
        <w:rPr>
          <w:rFonts w:ascii="Times New Roman" w:eastAsia="Times New Roman" w:hAnsi="Times New Roman" w:cs="Times New Roman"/>
          <w:i/>
          <w:iCs/>
          <w:color w:val="000000"/>
          <w:sz w:val="20"/>
          <w:szCs w:val="20"/>
        </w:rPr>
        <w:t>Identity and contact details of the data importer(s), including any contact person with responsibility for data protection]</w:t>
      </w:r>
    </w:p>
    <w:tbl>
      <w:tblPr>
        <w:tblW w:w="5000" w:type="pct"/>
        <w:tblCellMar>
          <w:left w:w="0" w:type="dxa"/>
          <w:right w:w="0" w:type="dxa"/>
        </w:tblCellMar>
        <w:tblLook w:val="04A0" w:firstRow="1" w:lastRow="0" w:firstColumn="1" w:lastColumn="0" w:noHBand="0" w:noVBand="1"/>
      </w:tblPr>
      <w:tblGrid>
        <w:gridCol w:w="6"/>
        <w:gridCol w:w="151"/>
        <w:gridCol w:w="9203"/>
      </w:tblGrid>
      <w:tr w:rsidR="001D7BC7" w:rsidRPr="005A006E" w14:paraId="54EAC984" w14:textId="77777777" w:rsidTr="00882CDE">
        <w:tc>
          <w:tcPr>
            <w:tcW w:w="0" w:type="auto"/>
            <w:shd w:val="clear" w:color="auto" w:fill="auto"/>
            <w:hideMark/>
          </w:tcPr>
          <w:p w14:paraId="10F236A0" w14:textId="77777777" w:rsidR="001D7BC7" w:rsidRPr="005A006E" w:rsidRDefault="001D7BC7" w:rsidP="00882CDE">
            <w:pPr>
              <w:spacing w:after="0" w:line="240" w:lineRule="auto"/>
              <w:rPr>
                <w:rFonts w:ascii="Times New Roman" w:eastAsia="Times New Roman" w:hAnsi="Times New Roman" w:cs="Times New Roman"/>
                <w:color w:val="000000"/>
                <w:sz w:val="20"/>
                <w:szCs w:val="20"/>
              </w:rPr>
            </w:pPr>
          </w:p>
        </w:tc>
        <w:tc>
          <w:tcPr>
            <w:tcW w:w="0" w:type="auto"/>
            <w:shd w:val="clear" w:color="auto" w:fill="auto"/>
            <w:hideMark/>
          </w:tcPr>
          <w:p w14:paraId="37264F59"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1.</w:t>
            </w:r>
          </w:p>
        </w:tc>
        <w:tc>
          <w:tcPr>
            <w:tcW w:w="0" w:type="auto"/>
            <w:shd w:val="clear" w:color="auto" w:fill="auto"/>
            <w:hideMark/>
          </w:tcPr>
          <w:p w14:paraId="53BEDE26" w14:textId="77777777" w:rsidR="001D7BC7" w:rsidRPr="005A006E" w:rsidRDefault="001D7BC7" w:rsidP="00882CDE">
            <w:pPr>
              <w:spacing w:after="0" w:line="240" w:lineRule="auto"/>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rPr>
              <w:t>Cvent, Inc, on behalf of itself and its wholly-owned Affiliates.</w:t>
            </w:r>
          </w:p>
          <w:p w14:paraId="5C5D4952"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rPr>
              <w:t>1765 Greensboro Station Place, Suite 700, Tysons Corner, VA 22102</w:t>
            </w:r>
          </w:p>
          <w:p w14:paraId="01D2AFC0"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Contact person’s name, position and contact details: </w:t>
            </w:r>
            <w:r>
              <w:rPr>
                <w:rFonts w:ascii="Times New Roman" w:eastAsia="Times New Roman" w:hAnsi="Times New Roman" w:cs="Times New Roman"/>
                <w:sz w:val="20"/>
                <w:szCs w:val="20"/>
              </w:rPr>
              <w:t>Edwin Y. Szeto, Vice President and Deputy General Counsel</w:t>
            </w:r>
          </w:p>
          <w:p w14:paraId="0AAD0DE1"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Activities relevant to the data transferred under these Clauses: </w:t>
            </w:r>
          </w:p>
          <w:p w14:paraId="2BFA1BE7" w14:textId="4540DBE3"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Signature and date: </w:t>
            </w:r>
            <w:r w:rsidR="008C531A" w:rsidRPr="000B7A1B">
              <w:rPr>
                <w:rFonts w:ascii="Times New Roman" w:hAnsi="Times New Roman"/>
                <w:noProof/>
                <w:sz w:val="16"/>
                <w:szCs w:val="16"/>
              </w:rPr>
              <w:drawing>
                <wp:anchor distT="0" distB="0" distL="114300" distR="114300" simplePos="0" relativeHeight="251660288" behindDoc="0" locked="0" layoutInCell="1" allowOverlap="1" wp14:anchorId="48F16F8A" wp14:editId="7150D679">
                  <wp:simplePos x="0" y="0"/>
                  <wp:positionH relativeFrom="column">
                    <wp:posOffset>0</wp:posOffset>
                  </wp:positionH>
                  <wp:positionV relativeFrom="paragraph">
                    <wp:posOffset>233045</wp:posOffset>
                  </wp:positionV>
                  <wp:extent cx="1688465" cy="32702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88465" cy="327025"/>
                          </a:xfrm>
                          <a:prstGeom prst="rect">
                            <a:avLst/>
                          </a:prstGeom>
                          <a:noFill/>
                        </pic:spPr>
                      </pic:pic>
                    </a:graphicData>
                  </a:graphic>
                </wp:anchor>
              </w:drawing>
            </w:r>
          </w:p>
          <w:p w14:paraId="350D2901"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 xml:space="preserve">Role (controller/processor): </w:t>
            </w:r>
            <w:r>
              <w:rPr>
                <w:rFonts w:ascii="Times New Roman" w:eastAsia="Times New Roman" w:hAnsi="Times New Roman" w:cs="Times New Roman"/>
                <w:sz w:val="20"/>
                <w:szCs w:val="20"/>
              </w:rPr>
              <w:t>processor</w:t>
            </w:r>
          </w:p>
        </w:tc>
      </w:tr>
    </w:tbl>
    <w:p w14:paraId="4E41AD59" w14:textId="77777777" w:rsidR="001D7BC7" w:rsidRPr="005A006E" w:rsidRDefault="001D7BC7" w:rsidP="001D7BC7">
      <w:pPr>
        <w:shd w:val="clear" w:color="auto" w:fill="FFFFFF"/>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70"/>
        <w:gridCol w:w="6953"/>
        <w:gridCol w:w="2337"/>
      </w:tblGrid>
      <w:tr w:rsidR="001D7BC7" w:rsidRPr="005A006E" w14:paraId="3A88EC51" w14:textId="77777777" w:rsidTr="00882CDE">
        <w:tc>
          <w:tcPr>
            <w:tcW w:w="0" w:type="auto"/>
            <w:shd w:val="clear" w:color="auto" w:fill="auto"/>
            <w:hideMark/>
          </w:tcPr>
          <w:p w14:paraId="48A41024" w14:textId="77777777" w:rsidR="001D7BC7" w:rsidRPr="005A006E" w:rsidRDefault="001D7BC7" w:rsidP="00882CDE">
            <w:pPr>
              <w:shd w:val="clear" w:color="auto" w:fill="FFFFFF"/>
              <w:spacing w:after="0" w:line="240" w:lineRule="auto"/>
              <w:rPr>
                <w:rFonts w:ascii="Times New Roman" w:eastAsia="Times New Roman" w:hAnsi="Times New Roman" w:cs="Times New Roman"/>
                <w:color w:val="000000"/>
                <w:sz w:val="20"/>
                <w:szCs w:val="20"/>
              </w:rPr>
            </w:pPr>
          </w:p>
        </w:tc>
        <w:tc>
          <w:tcPr>
            <w:tcW w:w="0" w:type="auto"/>
            <w:shd w:val="clear" w:color="auto" w:fill="auto"/>
            <w:hideMark/>
          </w:tcPr>
          <w:p w14:paraId="590C02A1" w14:textId="77777777" w:rsidR="001D7BC7" w:rsidRPr="005A006E" w:rsidRDefault="001D7BC7" w:rsidP="00882CDE">
            <w:pPr>
              <w:spacing w:before="120" w:after="0" w:line="240" w:lineRule="auto"/>
              <w:jc w:val="both"/>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N/A</w:t>
            </w:r>
          </w:p>
        </w:tc>
        <w:tc>
          <w:tcPr>
            <w:tcW w:w="0" w:type="auto"/>
            <w:shd w:val="clear" w:color="auto" w:fill="auto"/>
            <w:hideMark/>
          </w:tcPr>
          <w:p w14:paraId="3CCDB441" w14:textId="77777777" w:rsidR="001D7BC7" w:rsidRPr="005A006E" w:rsidRDefault="001D7BC7" w:rsidP="00882CDE">
            <w:pPr>
              <w:spacing w:after="0" w:line="240" w:lineRule="auto"/>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t>…</w:t>
            </w:r>
          </w:p>
        </w:tc>
      </w:tr>
    </w:tbl>
    <w:p w14:paraId="31DEBCF0"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B.   DESCRIPTION OF TRANSFER</w:t>
      </w:r>
    </w:p>
    <w:p w14:paraId="4903110A"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15B17BE9"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Categories of data subjects whose personal data is transferred</w:t>
      </w:r>
    </w:p>
    <w:p w14:paraId="54EB53DD" w14:textId="77777777" w:rsidR="001D7BC7" w:rsidRDefault="001D7BC7" w:rsidP="001D7BC7">
      <w:pPr>
        <w:pStyle w:val="BodyText"/>
        <w:jc w:val="both"/>
        <w:rPr>
          <w:sz w:val="20"/>
          <w:szCs w:val="20"/>
        </w:rPr>
      </w:pPr>
      <w:r>
        <w:rPr>
          <w:sz w:val="20"/>
          <w:szCs w:val="20"/>
        </w:rPr>
        <w:t>Customer’s clients (attendees, submitters, survey respondents, customer's employees and associates, RFP submitters, Customer's business contacts, current and prospective customers, members, marketing partners, or other third party contacts that use Services to interact with Customer etc.).</w:t>
      </w:r>
    </w:p>
    <w:p w14:paraId="62FD244B"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p>
    <w:p w14:paraId="24663760"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Categories of personal data transferred</w:t>
      </w:r>
    </w:p>
    <w:p w14:paraId="00672775" w14:textId="77777777" w:rsidR="001D7BC7" w:rsidRDefault="001D7BC7" w:rsidP="001D7BC7">
      <w:pPr>
        <w:pStyle w:val="BodyText"/>
        <w:numPr>
          <w:ilvl w:val="0"/>
          <w:numId w:val="7"/>
        </w:numPr>
        <w:spacing w:after="240"/>
        <w:jc w:val="both"/>
        <w:rPr>
          <w:sz w:val="20"/>
          <w:szCs w:val="20"/>
        </w:rPr>
      </w:pPr>
      <w:r>
        <w:rPr>
          <w:sz w:val="20"/>
          <w:szCs w:val="20"/>
          <w:u w:val="single"/>
        </w:rPr>
        <w:t>Basic and contact data</w:t>
      </w:r>
      <w:r>
        <w:rPr>
          <w:sz w:val="20"/>
          <w:szCs w:val="20"/>
        </w:rPr>
        <w:t>: name, organization, title, postal address, e-mail address, telephone number, fax number, social media account ID, also credit or debit card number, or other payment account number, as well as applicable expiration dates and billing or shipping addresses;</w:t>
      </w:r>
    </w:p>
    <w:p w14:paraId="10617538" w14:textId="77777777" w:rsidR="001D7BC7" w:rsidRDefault="001D7BC7" w:rsidP="001D7BC7">
      <w:pPr>
        <w:pStyle w:val="BodyText"/>
        <w:numPr>
          <w:ilvl w:val="0"/>
          <w:numId w:val="7"/>
        </w:numPr>
        <w:spacing w:after="240"/>
        <w:jc w:val="both"/>
        <w:rPr>
          <w:sz w:val="20"/>
          <w:szCs w:val="20"/>
        </w:rPr>
      </w:pPr>
      <w:r>
        <w:rPr>
          <w:sz w:val="20"/>
          <w:szCs w:val="20"/>
          <w:u w:val="single"/>
        </w:rPr>
        <w:t>Usage data</w:t>
      </w:r>
      <w:r>
        <w:rPr>
          <w:sz w:val="20"/>
          <w:szCs w:val="20"/>
        </w:rPr>
        <w:t>: browser and device information, operating system, device type, system and performance information, app usage data, information collected through cookies, pixel tags and other technologies, general geographic location;</w:t>
      </w:r>
    </w:p>
    <w:p w14:paraId="05DAA44A" w14:textId="77777777" w:rsidR="001D7BC7" w:rsidRDefault="001D7BC7" w:rsidP="001D7BC7">
      <w:pPr>
        <w:pStyle w:val="BodyText"/>
        <w:numPr>
          <w:ilvl w:val="0"/>
          <w:numId w:val="7"/>
        </w:numPr>
        <w:spacing w:after="240"/>
        <w:jc w:val="both"/>
        <w:rPr>
          <w:sz w:val="20"/>
          <w:szCs w:val="20"/>
        </w:rPr>
      </w:pPr>
      <w:r>
        <w:rPr>
          <w:sz w:val="20"/>
          <w:szCs w:val="20"/>
          <w:u w:val="single"/>
        </w:rPr>
        <w:lastRenderedPageBreak/>
        <w:t>Further data about a person</w:t>
      </w:r>
      <w:r>
        <w:rPr>
          <w:sz w:val="20"/>
          <w:szCs w:val="20"/>
        </w:rPr>
        <w:t>: dietary preferences, interests, activities, age, gender, education and occupation.</w:t>
      </w:r>
    </w:p>
    <w:p w14:paraId="2FDD5C8B" w14:textId="77777777" w:rsidR="001D7BC7" w:rsidRDefault="001D7BC7" w:rsidP="001D7BC7">
      <w:pPr>
        <w:shd w:val="clear" w:color="auto" w:fill="FFFFFF"/>
        <w:spacing w:before="120" w:after="0" w:line="240" w:lineRule="auto"/>
        <w:jc w:val="both"/>
        <w:rPr>
          <w:rFonts w:ascii="Times New Roman" w:eastAsia="Times New Roman" w:hAnsi="Times New Roman" w:cs="Times New Roman"/>
          <w:i/>
          <w:iCs/>
          <w:color w:val="000000"/>
          <w:sz w:val="20"/>
          <w:szCs w:val="20"/>
        </w:rPr>
      </w:pPr>
    </w:p>
    <w:p w14:paraId="5A340C3B"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5A006E">
        <w:rPr>
          <w:rFonts w:ascii="Times New Roman" w:eastAsia="Times New Roman" w:hAnsi="Times New Roman" w:cs="Times New Roman"/>
          <w:i/>
          <w:iCs/>
          <w:color w:val="000000"/>
          <w:sz w:val="20"/>
          <w:szCs w:val="20"/>
        </w:rPr>
        <w:t>specialised</w:t>
      </w:r>
      <w:proofErr w:type="spellEnd"/>
      <w:r w:rsidRPr="005A006E">
        <w:rPr>
          <w:rFonts w:ascii="Times New Roman" w:eastAsia="Times New Roman" w:hAnsi="Times New Roman" w:cs="Times New Roman"/>
          <w:i/>
          <w:iCs/>
          <w:color w:val="000000"/>
          <w:sz w:val="20"/>
          <w:szCs w:val="20"/>
        </w:rPr>
        <w:t xml:space="preserve"> training), keeping a record of access to the data, restrictions for onward transfers or additional security measures.</w:t>
      </w:r>
    </w:p>
    <w:p w14:paraId="19C60748"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Pr>
          <w:iCs/>
          <w:sz w:val="20"/>
          <w:szCs w:val="20"/>
        </w:rPr>
        <w:t xml:space="preserve">No special categories of data are processed. </w:t>
      </w:r>
    </w:p>
    <w:p w14:paraId="5D121272"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The frequency of the transfer (e.g. whether the data is transferred on a one-off or continuous basis).</w:t>
      </w:r>
    </w:p>
    <w:p w14:paraId="195A8F9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BB65A1">
        <w:rPr>
          <w:rFonts w:ascii="Times New Roman" w:eastAsia="Times New Roman" w:hAnsi="Times New Roman" w:cs="Times New Roman"/>
          <w:color w:val="000000"/>
          <w:sz w:val="20"/>
          <w:szCs w:val="20"/>
        </w:rPr>
        <w:t>The frequency of the transfer of Personal Data is determined by Customer. Personal Data is transferred each time that Customer instructs Cvent to process Personal Data</w:t>
      </w:r>
      <w:r w:rsidRPr="00BB65A1">
        <w:rPr>
          <w:rFonts w:ascii="Times New Roman" w:eastAsia="Times New Roman" w:hAnsi="Times New Roman" w:cs="Times New Roman"/>
          <w:i/>
          <w:iCs/>
          <w:color w:val="000000"/>
          <w:sz w:val="20"/>
          <w:szCs w:val="20"/>
        </w:rPr>
        <w:t>.</w:t>
      </w:r>
    </w:p>
    <w:p w14:paraId="42431DBF"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Nature of the processing</w:t>
      </w:r>
    </w:p>
    <w:p w14:paraId="23D90154"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BB65A1">
        <w:rPr>
          <w:rFonts w:ascii="Times New Roman" w:eastAsia="Times New Roman" w:hAnsi="Times New Roman" w:cs="Times New Roman"/>
          <w:color w:val="000000"/>
          <w:sz w:val="20"/>
          <w:szCs w:val="20"/>
        </w:rPr>
        <w:t>The nature of the processing of Personal Data pertains to the provision of Services under the Agreement</w:t>
      </w:r>
      <w:r w:rsidRPr="00BB65A1">
        <w:rPr>
          <w:rFonts w:ascii="Times New Roman" w:eastAsia="Times New Roman" w:hAnsi="Times New Roman" w:cs="Times New Roman"/>
          <w:i/>
          <w:iCs/>
          <w:color w:val="000000"/>
          <w:sz w:val="20"/>
          <w:szCs w:val="20"/>
        </w:rPr>
        <w:t>.</w:t>
      </w:r>
    </w:p>
    <w:p w14:paraId="5714BE4B"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Purpose(s) of the data transfer and further processing</w:t>
      </w:r>
    </w:p>
    <w:p w14:paraId="51D527B9" w14:textId="77777777" w:rsidR="001D7BC7" w:rsidRPr="00BB65A1"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BB65A1">
        <w:rPr>
          <w:rFonts w:ascii="Times New Roman" w:eastAsia="Times New Roman" w:hAnsi="Times New Roman" w:cs="Times New Roman"/>
          <w:color w:val="000000"/>
          <w:sz w:val="20"/>
          <w:szCs w:val="20"/>
        </w:rPr>
        <w:t>The purpose of the processing of Personal Data pertains to the provision of Services under the Agreement.</w:t>
      </w:r>
    </w:p>
    <w:p w14:paraId="7961D44C"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The period for which the personal data will be retained, or, if that is not possible, the criteria used to determine that period</w:t>
      </w:r>
    </w:p>
    <w:p w14:paraId="391A5D9F"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BB65A1">
        <w:rPr>
          <w:rFonts w:ascii="Times New Roman" w:eastAsia="Times New Roman" w:hAnsi="Times New Roman" w:cs="Times New Roman"/>
          <w:color w:val="000000"/>
          <w:sz w:val="20"/>
          <w:szCs w:val="20"/>
        </w:rPr>
        <w:t>The retention period of Personal Data is generally determined by Customer and is subject to the term of the DPA and the Agreement</w:t>
      </w:r>
      <w:r>
        <w:rPr>
          <w:rFonts w:ascii="Times New Roman" w:eastAsia="Times New Roman" w:hAnsi="Times New Roman" w:cs="Times New Roman"/>
          <w:color w:val="000000"/>
          <w:sz w:val="20"/>
          <w:szCs w:val="20"/>
        </w:rPr>
        <w:t>.</w:t>
      </w:r>
    </w:p>
    <w:p w14:paraId="438679E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For transfers to (sub-) processors, also specify subject matter, nature and duration of the processing</w:t>
      </w:r>
    </w:p>
    <w:p w14:paraId="18FF3DEE" w14:textId="77777777" w:rsidR="001D7BC7" w:rsidRPr="00BB65A1"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BB65A1">
        <w:rPr>
          <w:rFonts w:ascii="Times New Roman" w:eastAsia="Times New Roman" w:hAnsi="Times New Roman" w:cs="Times New Roman"/>
          <w:color w:val="000000"/>
          <w:sz w:val="20"/>
          <w:szCs w:val="20"/>
        </w:rPr>
        <w:t>Subject Matter, nature and duration of processing by sub-processors will never be beyond the scope of what is conducted by data importer.</w:t>
      </w:r>
    </w:p>
    <w:p w14:paraId="12F790FB"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C.   COMPETENT SUPERVISORY AUTHORITY</w:t>
      </w:r>
    </w:p>
    <w:p w14:paraId="3E81A588"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p>
    <w:p w14:paraId="0EB81CAA"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48305975"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i/>
          <w:iCs/>
          <w:color w:val="000000"/>
          <w:sz w:val="20"/>
          <w:szCs w:val="20"/>
        </w:rPr>
        <w:t>Identify the competent supervisory authority/</w:t>
      </w:r>
      <w:proofErr w:type="spellStart"/>
      <w:r w:rsidRPr="005A006E">
        <w:rPr>
          <w:rFonts w:ascii="Times New Roman" w:eastAsia="Times New Roman" w:hAnsi="Times New Roman" w:cs="Times New Roman"/>
          <w:i/>
          <w:iCs/>
          <w:color w:val="000000"/>
          <w:sz w:val="20"/>
          <w:szCs w:val="20"/>
        </w:rPr>
        <w:t>ies</w:t>
      </w:r>
      <w:proofErr w:type="spellEnd"/>
      <w:r w:rsidRPr="005A006E">
        <w:rPr>
          <w:rFonts w:ascii="Times New Roman" w:eastAsia="Times New Roman" w:hAnsi="Times New Roman" w:cs="Times New Roman"/>
          <w:i/>
          <w:iCs/>
          <w:color w:val="000000"/>
          <w:sz w:val="20"/>
          <w:szCs w:val="20"/>
        </w:rPr>
        <w:t xml:space="preserve"> in accordance with Clause 13</w:t>
      </w:r>
    </w:p>
    <w:p w14:paraId="01E4C41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p>
    <w:p w14:paraId="404326A8" w14:textId="77777777" w:rsidR="001D7BC7" w:rsidRPr="005A006E" w:rsidRDefault="001D7BC7" w:rsidP="001D7BC7">
      <w:pPr>
        <w:rPr>
          <w:rFonts w:ascii="Times New Roman" w:eastAsia="Times New Roman" w:hAnsi="Times New Roman" w:cs="Times New Roman"/>
          <w:sz w:val="20"/>
          <w:szCs w:val="20"/>
        </w:rPr>
      </w:pPr>
      <w:r w:rsidRPr="005A006E">
        <w:rPr>
          <w:rFonts w:ascii="Times New Roman" w:eastAsia="Times New Roman" w:hAnsi="Times New Roman" w:cs="Times New Roman"/>
          <w:sz w:val="20"/>
          <w:szCs w:val="20"/>
        </w:rPr>
        <w:br w:type="page"/>
      </w:r>
    </w:p>
    <w:p w14:paraId="6B2ECA61" w14:textId="77777777" w:rsidR="001D7BC7" w:rsidRPr="005A006E" w:rsidRDefault="00143C8B" w:rsidP="001D7BC7">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pict w14:anchorId="75E37C7B">
          <v:rect id="_x0000_i1029" style="width:66.65pt;height:.75pt" o:hrpct="0" o:hralign="center" o:hrstd="t" o:hrnoshade="t" o:hr="t" fillcolor="black" stroked="f"/>
        </w:pict>
      </w:r>
    </w:p>
    <w:p w14:paraId="7D16E9CA"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ANNEX II</w:t>
      </w:r>
    </w:p>
    <w:p w14:paraId="7313E2A4"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TECHNICAL AND ORGANISATIONAL MEASURES INCLUDING TECHNICAL AND ORGANISATIONAL MEASURES TO ENSURE THE SECURITY OF THE DATA</w:t>
      </w:r>
    </w:p>
    <w:p w14:paraId="5CEA9BF2"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2F6D822F" w14:textId="77777777" w:rsidR="001D7BC7" w:rsidRDefault="001D7BC7" w:rsidP="001D7BC7">
      <w:pPr>
        <w:spacing w:after="291"/>
        <w:ind w:right="23"/>
        <w:jc w:val="center"/>
        <w:rPr>
          <w:b/>
          <w:bCs/>
          <w:sz w:val="20"/>
          <w:szCs w:val="20"/>
        </w:rPr>
      </w:pPr>
    </w:p>
    <w:p w14:paraId="172814CD" w14:textId="77777777" w:rsidR="001D7BC7" w:rsidRPr="00BB65A1" w:rsidRDefault="001D7BC7" w:rsidP="001D7BC7">
      <w:pPr>
        <w:jc w:val="both"/>
        <w:rPr>
          <w:rFonts w:ascii="Times New Roman" w:hAnsi="Times New Roman" w:cs="Times New Roman"/>
          <w:sz w:val="20"/>
          <w:szCs w:val="20"/>
        </w:rPr>
      </w:pPr>
      <w:r w:rsidRPr="00BB65A1">
        <w:rPr>
          <w:rFonts w:ascii="Times New Roman" w:hAnsi="Times New Roman" w:cs="Times New Roman"/>
          <w:b/>
          <w:bCs/>
          <w:sz w:val="20"/>
          <w:szCs w:val="20"/>
        </w:rPr>
        <w:t xml:space="preserve">Description of the technical and </w:t>
      </w:r>
      <w:proofErr w:type="spellStart"/>
      <w:r w:rsidRPr="00BB65A1">
        <w:rPr>
          <w:rFonts w:ascii="Times New Roman" w:hAnsi="Times New Roman" w:cs="Times New Roman"/>
          <w:b/>
          <w:bCs/>
          <w:sz w:val="20"/>
          <w:szCs w:val="20"/>
        </w:rPr>
        <w:t>organisational</w:t>
      </w:r>
      <w:proofErr w:type="spellEnd"/>
      <w:r w:rsidRPr="00BB65A1">
        <w:rPr>
          <w:rFonts w:ascii="Times New Roman" w:hAnsi="Times New Roman" w:cs="Times New Roman"/>
          <w:b/>
          <w:bCs/>
          <w:sz w:val="20"/>
          <w:szCs w:val="20"/>
        </w:rPr>
        <w:t xml:space="preserve"> security measures implemented by Cvent</w:t>
      </w:r>
    </w:p>
    <w:p w14:paraId="77B2BA23" w14:textId="77777777" w:rsidR="001D7BC7" w:rsidRPr="00BB65A1" w:rsidRDefault="001D7BC7" w:rsidP="001D7BC7">
      <w:pPr>
        <w:jc w:val="both"/>
        <w:rPr>
          <w:rFonts w:ascii="Times New Roman" w:hAnsi="Times New Roman" w:cs="Times New Roman"/>
          <w:sz w:val="20"/>
          <w:szCs w:val="20"/>
        </w:rPr>
      </w:pPr>
      <w:r w:rsidRPr="00BB65A1">
        <w:rPr>
          <w:rFonts w:ascii="Times New Roman" w:hAnsi="Times New Roman" w:cs="Times New Roman"/>
          <w:sz w:val="20"/>
          <w:szCs w:val="20"/>
        </w:rPr>
        <w:t>In its provision of services, Cvent may have access to confidential information of Customer and to personally identifiable information of Customer’s event registrants, survey respondents and others (collectively, “Customer Data”).  Cvent has implemented administrative, technical, and physical safeguards and other reasonable measures that are appropriate to protect Customer Data against unauthorized disclosure, loss and misuse (“Information Security Measures”) as provided below, and Cvent will continue to perform these or equivalent measures subject to the terms and conditions of the Agreement:</w:t>
      </w:r>
    </w:p>
    <w:p w14:paraId="1E9BBD5D"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Information Security Program</w:t>
      </w:r>
      <w:r w:rsidRPr="00BB65A1">
        <w:rPr>
          <w:sz w:val="20"/>
          <w:szCs w:val="20"/>
        </w:rPr>
        <w:t>. Cvent shall maintain an Information Security program based on generally accepted industry Information Security standards and frameworks (e.g., the then current version of ISO/IEC 27001 or NIST Cybersecurity Framework). Cvent shall also maintain PCI-DSS compliance for all Cvent services and/or systems which process, transmit and/or store credit card information. The Information Security program shall be in place to plan, implement, manage and monitor processes to meet Cvent information security objectives and requirements applicable to Cvent Services. The Information Security program shall also include performing Information Security Risk Assessments. The Information Security Risk Assessments will be performed on an annual basis with a purpose of identifying, ranking and resolving security risks through treatment activities according to a documented, risk-based methodology. Results of internal Information Security Risk Assessments are deemed Confidential to Cvent and are not available for external review or use.</w:t>
      </w:r>
      <w:r w:rsidRPr="00BB65A1" w:rsidDel="00C939C2">
        <w:rPr>
          <w:sz w:val="20"/>
          <w:szCs w:val="20"/>
        </w:rPr>
        <w:t xml:space="preserve"> </w:t>
      </w:r>
    </w:p>
    <w:p w14:paraId="57BC5AF2" w14:textId="77777777" w:rsidR="001D7BC7" w:rsidRPr="00BB65A1" w:rsidRDefault="001D7BC7" w:rsidP="001D7BC7">
      <w:pPr>
        <w:pStyle w:val="ListParagraph"/>
        <w:spacing w:after="0"/>
        <w:ind w:left="360"/>
        <w:rPr>
          <w:sz w:val="20"/>
          <w:szCs w:val="20"/>
        </w:rPr>
      </w:pPr>
    </w:p>
    <w:p w14:paraId="6FF9DEA9"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Information Security Policy</w:t>
      </w:r>
      <w:r w:rsidRPr="00BB65A1">
        <w:rPr>
          <w:sz w:val="20"/>
          <w:szCs w:val="20"/>
        </w:rPr>
        <w:t xml:space="preserve">. Cvent shall maintain a policy that identifies Information Security Program goals and sets forth Information Security control objectives. The policy shall outline critical roles and responsibilities for Information Security across Cvent’s business operations and govern maintenance of relevant implementation standards, guidelines and/or procedures. It shall also be reviewed annually and communicated to employees and applicable third parties. Cvent’s Information Security Policy and its associated Information Security Procedures can be shared with customers upon request (and Cvent shall support one request per customer organization on an annual basis). </w:t>
      </w:r>
      <w:r w:rsidRPr="00BB65A1">
        <w:rPr>
          <w:sz w:val="20"/>
          <w:szCs w:val="20"/>
        </w:rPr>
        <w:br/>
      </w:r>
    </w:p>
    <w:p w14:paraId="5FDFF70C"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Information Security Awareness and Employee Training</w:t>
      </w:r>
      <w:r w:rsidRPr="00BB65A1">
        <w:rPr>
          <w:sz w:val="20"/>
          <w:szCs w:val="20"/>
        </w:rPr>
        <w:t xml:space="preserve">. Cvent shall maintain an Information Security Awareness Program geared to its employees and relevant third parties to provide understanding for Cvent’s Information Security Program, common threats and risks to Customer Data resources, as well as fulfillment of their Information Security responsibilities. As part of the Security Awareness Program, Security Awareness training shall be conducted on an annual basis to all employees and contractors of Cvent; topics covered may include, but are not limited to, Security Policy &amp; Incident Recording, Acceptable Use, Information Classification and Privacy, specifically, concerning GDPR and CCPA. </w:t>
      </w:r>
      <w:r w:rsidRPr="00BB65A1">
        <w:rPr>
          <w:sz w:val="20"/>
          <w:szCs w:val="20"/>
        </w:rPr>
        <w:br/>
      </w:r>
    </w:p>
    <w:p w14:paraId="2E1578BA"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Personnel Security</w:t>
      </w:r>
      <w:r w:rsidRPr="00BB65A1">
        <w:rPr>
          <w:sz w:val="20"/>
          <w:szCs w:val="20"/>
        </w:rPr>
        <w:t xml:space="preserve">. Cvent shall further provide for the security of Customer Data by requiring all Cvent employees undergo identity and criminal background checks upon hire, as permitted by applicable law. Cvent employees shall agree to adopting appropriate measures and requirements upon on-boarding to maintain the confidentiality and non-disclosure of Customer Data. All employees may be subject to disciplinary actions if in violation of Cvent’s security policies and/or customer obligations, as mandated through Cvent’s policies. All </w:t>
      </w:r>
      <w:r w:rsidRPr="00BB65A1">
        <w:rPr>
          <w:sz w:val="20"/>
          <w:szCs w:val="20"/>
        </w:rPr>
        <w:lastRenderedPageBreak/>
        <w:t xml:space="preserve">employees are required to sign a Non-Disclosure Agreement and Acceptable Use Policy which outlines the acceptable use of Cvent assets and Customer Data handling. </w:t>
      </w:r>
    </w:p>
    <w:p w14:paraId="08C54A98" w14:textId="77777777" w:rsidR="001D7BC7" w:rsidRPr="00BB65A1" w:rsidRDefault="001D7BC7" w:rsidP="001D7BC7">
      <w:pPr>
        <w:pStyle w:val="ListParagraph"/>
        <w:spacing w:after="0"/>
        <w:ind w:left="360"/>
        <w:rPr>
          <w:sz w:val="20"/>
          <w:szCs w:val="20"/>
        </w:rPr>
      </w:pPr>
    </w:p>
    <w:p w14:paraId="13CB6697"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lang w:val="en-GB"/>
        </w:rPr>
        <w:t>Physical Security.</w:t>
      </w:r>
      <w:r w:rsidRPr="00BB65A1">
        <w:rPr>
          <w:sz w:val="20"/>
          <w:szCs w:val="20"/>
          <w:lang w:val="en-GB"/>
        </w:rPr>
        <w:t xml:space="preserve"> Cvent information hosting and processing facilities shall maintain secure areas and physical entry controls to provide for prevention of unauthorized physical access or exposure, damage, loss, and/or theft of Customer Data. Hosting facilities shall be equipped with 24/7 camera monitoring with logs retained for forensics. Entry to the facilities shall have layered security controls, including badged access for authorized individuals and strict visitor policies. Equipment housing Customer Data within facilities as well as mobile computing devices shall be reasonably safeguarded against unauthorized physical access, damage, loss or theft, as well as environmental threats that may disrupt processing of Customer Data. Hosting facilities shall have safeguards against fire hazards and electricity outages with such safeguards maintained and tested regularly. Storage media containing Customer Data shall be encrypted and be securely overwritten prior to its disposal or re-use. Customer Data will be accessed outside the USA by Cvent’s designated employees using strict data security and access controls, for the sole purpose of supporting the necessary activities required for the agreed upon services.</w:t>
      </w:r>
    </w:p>
    <w:p w14:paraId="7D2B5943" w14:textId="77777777" w:rsidR="001D7BC7" w:rsidRPr="00BB65A1" w:rsidRDefault="001D7BC7" w:rsidP="001D7BC7">
      <w:pPr>
        <w:pStyle w:val="ListParagraph"/>
        <w:spacing w:after="0"/>
        <w:ind w:left="360"/>
        <w:rPr>
          <w:sz w:val="20"/>
          <w:szCs w:val="20"/>
        </w:rPr>
      </w:pPr>
    </w:p>
    <w:p w14:paraId="030C5834"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Access Control</w:t>
      </w:r>
      <w:r w:rsidRPr="00BB65A1">
        <w:rPr>
          <w:sz w:val="20"/>
          <w:szCs w:val="20"/>
        </w:rPr>
        <w:t>. Cvent shall maintain reasonable access controls to authorize, limit and monitor Cvent employee and Cvent contractor access to Customer Data maintained in Cvent’s information systems. Controls shall include: multi-factor authentication over a secured VPN connection to any systems hosting Production Data; processes to provision user access with formally approved authorization using unique authentication IDs per individual; managing and reviewing privileged user access rights on a quarterly basis and performing a full review on an annual basis; and prompt removal of user access upon termination of employee or contractor status with Cvent. User passwords and other login information used to facilitate user identification and access to Cvent information systems shall be protected from unauthorized access by secure login mechanisms. Passwords shall be required to be changed every ninety (90) days and accounts shall be disabled after a specific number of invalid login attempts.  Role-Based Access Controls shall be in place to ensure that only authorized Employees have access to any systems that could store or transmit Customer Data.</w:t>
      </w:r>
      <w:r w:rsidRPr="00BB65A1">
        <w:rPr>
          <w:sz w:val="20"/>
          <w:szCs w:val="20"/>
        </w:rPr>
        <w:br/>
      </w:r>
    </w:p>
    <w:p w14:paraId="0BA075EC"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Customer Data Protection</w:t>
      </w:r>
      <w:r w:rsidRPr="00BB65A1">
        <w:rPr>
          <w:sz w:val="20"/>
          <w:szCs w:val="20"/>
        </w:rPr>
        <w:t>. Cvent shall maintain reasonable controls to safeguard Customer Data maintained in Cvent systems from unauthorized access, exposure, modification, and/or loss. Controls to protect Customer Data may include, but are not limited to, the following: Protecting Customer Data in transit and while at rest, as required by Cvent’s Information Classification standard, by implementing strong cryptography controls using AES-256 for specifically handling PII and Customer financial data. All backups containing Customer Data shall be encrypted and all databases logically separated to ensure the confidentiality of Customer Data. Procedures shall be in place for maintaining encrypted backups of Customer Data in a secure area(s) and securely disposing or destroying Customer Data using techniques consistent with NIST 800-88, “Guidelines for Media Sanitization” or other similar industry standards.</w:t>
      </w:r>
    </w:p>
    <w:p w14:paraId="25D8869A" w14:textId="77777777" w:rsidR="001D7BC7" w:rsidRPr="00BB65A1" w:rsidRDefault="001D7BC7" w:rsidP="001D7BC7">
      <w:pPr>
        <w:pStyle w:val="ListParagraph"/>
        <w:spacing w:after="0"/>
        <w:ind w:left="360"/>
        <w:rPr>
          <w:sz w:val="20"/>
          <w:szCs w:val="20"/>
        </w:rPr>
      </w:pPr>
    </w:p>
    <w:p w14:paraId="7EB07E53"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Network and System Security</w:t>
      </w:r>
      <w:r w:rsidRPr="00BB65A1">
        <w:rPr>
          <w:sz w:val="20"/>
          <w:szCs w:val="20"/>
        </w:rPr>
        <w:t>. Cvent shall maintain reasonable controls to operate Information Systems that maintain Customer Data. Controls include, but are not limited to: logical and/or physical network segmentation for Development and/or Production regions, network segregation between DMZs and systems hosting sensitive data, controlling and monitoring network access, network filtering devices, firewalls, intrusion detection systems, anti-virus &amp; anti-malware solutions, and logging capabilities to detect and respond to unauthorized or suspicious activity. Cvent shall actively monitor for known security events and anomalies that may pose a threat to Customer Data. Additionally, Cvent shall also maintain a Change Management process to control significant planned and unplanned changes to Cvent’s Information Systems.</w:t>
      </w:r>
    </w:p>
    <w:p w14:paraId="53EB368B" w14:textId="77777777" w:rsidR="001D7BC7" w:rsidRPr="00BB65A1" w:rsidRDefault="001D7BC7" w:rsidP="001D7BC7">
      <w:pPr>
        <w:pStyle w:val="ListParagraph"/>
        <w:spacing w:after="0"/>
        <w:ind w:left="360"/>
        <w:rPr>
          <w:sz w:val="20"/>
          <w:szCs w:val="20"/>
        </w:rPr>
      </w:pPr>
    </w:p>
    <w:p w14:paraId="01984273"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Vulnerability Management</w:t>
      </w:r>
      <w:r w:rsidRPr="00BB65A1">
        <w:rPr>
          <w:sz w:val="20"/>
          <w:szCs w:val="20"/>
        </w:rPr>
        <w:t xml:space="preserve">. Cvent shall maintain processes to identify, evaluate and address vulnerabilities that may be present on Cvent Information Systems and SaaS applications. Cvent shall perform annual penetration </w:t>
      </w:r>
      <w:r w:rsidRPr="00BB65A1">
        <w:rPr>
          <w:sz w:val="20"/>
          <w:szCs w:val="20"/>
        </w:rPr>
        <w:lastRenderedPageBreak/>
        <w:t>testing and quarterly vulnerability scanning on all publicly-addressable systems as well as internal production and corporate systems. PCI ASV scans shall be conducted for all publicly addressable systems within PCI scope and work with an industry accredited third party to perform penetration testing on all Cvent PCI-scoped systems. Customers shall be provided with an Executive Summary report of our external scan report upon written request. Cvent uses the Common Vulnerability Scoring System (CVSS) 3.1 and internal risk assessment methodologies to prioritize vulnerabilities and address within reasonable timeframes to reduce the risk of potential exploitation that may lead to system compromise, loss of system availability, or unauthorized access to system(s) or Customer Data. Defined risk levels and corresponding timeframes in accordance with the aforementioned standards are as follows: Critical (Prioritized over other work until fixed, in no case later than 7 days), High (30 days), Medium (90 days) and Low (at the discretion of Cvent). Cvent shall assess different risk levels and remediation timelines in its sole discretion, based upon business impact of the remediation and the underlying risk of the vulnerability. Any vulnerabilities that cannot be resolved are subject to a formal Risk Acceptance with appropriate documented justification, with relevant compensating controls in place and formal approval from C-Level Management.</w:t>
      </w:r>
    </w:p>
    <w:p w14:paraId="4939E1FC" w14:textId="77777777" w:rsidR="001D7BC7" w:rsidRPr="00BB65A1" w:rsidRDefault="001D7BC7" w:rsidP="001D7BC7">
      <w:pPr>
        <w:pStyle w:val="ListParagraph"/>
        <w:spacing w:after="0"/>
        <w:ind w:left="360"/>
        <w:rPr>
          <w:sz w:val="20"/>
          <w:szCs w:val="20"/>
        </w:rPr>
      </w:pPr>
    </w:p>
    <w:p w14:paraId="4C9F60D5"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Secure Software Development</w:t>
      </w:r>
      <w:r w:rsidRPr="00BB65A1">
        <w:rPr>
          <w:sz w:val="20"/>
          <w:szCs w:val="20"/>
        </w:rPr>
        <w:t>. Cvent shall maintain processes to identify, evaluate and address risks to the development of its software solutions. Cvent shall maintain an independent test/development environment, separate from production computing resources, for any testing of new software and/or changes to existing software. Production data will not be used for software testing and development purposes unless sanitized and deemed necessary for any intended testing that needs to be performed; all efforts will be made to first utilize mock/test data. Cvent maintains a change control process for application changes pushed to production computing environments. Changes shall require approvals and specific tasks to be performed, including: Development, Code Review, Testing, Approval of Changes, and Documentation of Changes. Cvent requires all software developers to undergo training on secure coding practices in line with OWASP Top 10 guidelines.</w:t>
      </w:r>
    </w:p>
    <w:p w14:paraId="195299FB" w14:textId="77777777" w:rsidR="001D7BC7" w:rsidRPr="00BB65A1" w:rsidRDefault="001D7BC7" w:rsidP="001D7BC7">
      <w:pPr>
        <w:pStyle w:val="ListParagraph"/>
        <w:spacing w:after="0"/>
        <w:ind w:left="360"/>
        <w:rPr>
          <w:sz w:val="20"/>
          <w:szCs w:val="20"/>
        </w:rPr>
      </w:pPr>
    </w:p>
    <w:p w14:paraId="10E9FA6B"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Third Party/Supply Chain Security</w:t>
      </w:r>
      <w:r w:rsidRPr="00BB65A1">
        <w:rPr>
          <w:sz w:val="20"/>
          <w:szCs w:val="20"/>
        </w:rPr>
        <w:t>. Cvent shall maintain a process to identify, evaluate and manage risks associated with third-party vendors and/or service providers. Third parties that access, process, or store Customer Data shall undergo Risk Assessment. Reassessments of critical third parties shall be performed on an annual basis. Risks identified through risk assessments shall be prioritized and documented by Cvent.</w:t>
      </w:r>
    </w:p>
    <w:p w14:paraId="7B38923D" w14:textId="77777777" w:rsidR="001D7BC7" w:rsidRPr="00BB65A1" w:rsidRDefault="001D7BC7" w:rsidP="001D7BC7">
      <w:pPr>
        <w:pStyle w:val="ListParagraph"/>
        <w:spacing w:after="0"/>
        <w:ind w:left="360"/>
        <w:rPr>
          <w:sz w:val="20"/>
          <w:szCs w:val="20"/>
        </w:rPr>
      </w:pPr>
    </w:p>
    <w:p w14:paraId="444F3747"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Security Incident Management.</w:t>
      </w:r>
      <w:r w:rsidRPr="00BB65A1">
        <w:rPr>
          <w:sz w:val="20"/>
          <w:szCs w:val="20"/>
        </w:rPr>
        <w:t xml:space="preserve"> Cvent shall maintain processes to identify, respond to, contain and minimize the impact of Information Security incidents to Customer Data. A “Security Incident” shall be defined as an event that results in the unauthorized disclosure of any personally identifiable or confidential Customer Data.  In the event of a Security Incident of Customer Data while maintained in Cvent systems, Cvent shall notify Customer no later than forty-eight (48) hours after the Breach has been confirmed. </w:t>
      </w:r>
      <w:r w:rsidRPr="00BB65A1">
        <w:rPr>
          <w:rStyle w:val="staticpgtext"/>
          <w:rFonts w:ascii="Times New Roman" w:hAnsi="Times New Roman" w:cs="Times New Roman"/>
          <w:color w:val="000000"/>
        </w:rPr>
        <w:t xml:space="preserve">The notice shall include the approximate date and time of the Breach and a summary of relevant, then-known facts, including a description of measures being taken to further investigate and address the Breach. </w:t>
      </w:r>
    </w:p>
    <w:p w14:paraId="2E088838" w14:textId="77777777" w:rsidR="001D7BC7" w:rsidRPr="00BB65A1" w:rsidRDefault="001D7BC7" w:rsidP="001D7BC7">
      <w:pPr>
        <w:ind w:left="360"/>
        <w:jc w:val="both"/>
        <w:rPr>
          <w:rFonts w:ascii="Times New Roman" w:hAnsi="Times New Roman" w:cs="Times New Roman"/>
          <w:sz w:val="20"/>
          <w:szCs w:val="20"/>
        </w:rPr>
      </w:pPr>
    </w:p>
    <w:p w14:paraId="185E95A0" w14:textId="77777777" w:rsidR="001D7BC7" w:rsidRPr="00BB65A1" w:rsidRDefault="001D7BC7" w:rsidP="001D7BC7">
      <w:pPr>
        <w:pStyle w:val="ListParagraph"/>
        <w:numPr>
          <w:ilvl w:val="0"/>
          <w:numId w:val="6"/>
        </w:numPr>
        <w:spacing w:after="0" w:line="276" w:lineRule="auto"/>
        <w:ind w:left="360"/>
        <w:rPr>
          <w:sz w:val="20"/>
          <w:szCs w:val="20"/>
        </w:rPr>
      </w:pPr>
      <w:r w:rsidRPr="00BB65A1">
        <w:rPr>
          <w:b/>
          <w:sz w:val="20"/>
          <w:szCs w:val="20"/>
        </w:rPr>
        <w:t>Business Continuity Management</w:t>
      </w:r>
      <w:r w:rsidRPr="00BB65A1">
        <w:rPr>
          <w:sz w:val="20"/>
          <w:szCs w:val="20"/>
        </w:rPr>
        <w:t xml:space="preserve">. Cvent shall maintain controls to recover Information Systems hosting Customer Data to reasonably acceptable levels in the event of an unplanned disruption whose root cause is attributed to an entity or force beyond Cvent’s reasonable ability to control. Controls shall include a Business Continuity or Disaster Recovery Plan, which includes, but may not be limited to addressing backup(s) of Customer Data; a process to test such backup(s) at regular intervals; providing a description of resources and steps required to recover Information Systems to acceptable levels of performance and performing testing of the Business Continuity or Disaster Recovery Plan(s) on an annual basis.  </w:t>
      </w:r>
    </w:p>
    <w:p w14:paraId="7F9EE753" w14:textId="77777777" w:rsidR="001D7BC7" w:rsidRPr="00BB65A1" w:rsidRDefault="001D7BC7" w:rsidP="001D7BC7">
      <w:pPr>
        <w:pStyle w:val="ListParagraph"/>
        <w:ind w:left="360"/>
        <w:rPr>
          <w:rStyle w:val="staticpgtext"/>
          <w:rFonts w:ascii="Times New Roman" w:hAnsi="Times New Roman" w:cs="Times New Roman"/>
        </w:rPr>
      </w:pPr>
    </w:p>
    <w:p w14:paraId="0E1D50F1" w14:textId="77777777" w:rsidR="001D7BC7" w:rsidRPr="00BB65A1" w:rsidRDefault="001D7BC7" w:rsidP="001D7BC7">
      <w:pPr>
        <w:pStyle w:val="ListParagraph"/>
        <w:numPr>
          <w:ilvl w:val="0"/>
          <w:numId w:val="6"/>
        </w:numPr>
        <w:spacing w:after="0" w:line="276" w:lineRule="auto"/>
        <w:ind w:left="360"/>
        <w:rPr>
          <w:rStyle w:val="staticpgtext"/>
          <w:rFonts w:ascii="Times New Roman" w:hAnsi="Times New Roman" w:cs="Times New Roman"/>
        </w:rPr>
      </w:pPr>
      <w:r w:rsidRPr="00BB65A1">
        <w:rPr>
          <w:b/>
          <w:sz w:val="20"/>
          <w:szCs w:val="20"/>
        </w:rPr>
        <w:t xml:space="preserve">Compliance and Audits. </w:t>
      </w:r>
      <w:r w:rsidRPr="00BB65A1">
        <w:rPr>
          <w:bCs/>
          <w:sz w:val="20"/>
          <w:szCs w:val="20"/>
        </w:rPr>
        <w:t xml:space="preserve">Cvent shall hire a qualified external audit firm to conduct an audit of Cvent’s product offerings and its supporting infrastructure and processes on an annual basis. The audits shall result in a valid certificate/report for an industry acceptable framework such as SOC1, SOC2, PCI DSS, ISO 27001 and others as </w:t>
      </w:r>
      <w:r w:rsidRPr="00BB65A1">
        <w:rPr>
          <w:bCs/>
          <w:sz w:val="20"/>
          <w:szCs w:val="20"/>
        </w:rPr>
        <w:lastRenderedPageBreak/>
        <w:t>needed. Upon written request, Cvent shall share any relevant audit certificates or its SOC reports with its customers when requested in writing by the customer.</w:t>
      </w:r>
      <w:r w:rsidRPr="00BB65A1">
        <w:rPr>
          <w:b/>
          <w:sz w:val="20"/>
          <w:szCs w:val="20"/>
        </w:rPr>
        <w:t xml:space="preserve"> </w:t>
      </w:r>
    </w:p>
    <w:p w14:paraId="15B6F5B6"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p>
    <w:p w14:paraId="26FCF786" w14:textId="77777777" w:rsidR="001D7BC7" w:rsidRPr="005A006E" w:rsidRDefault="00143C8B" w:rsidP="001D7BC7">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32B7E09">
          <v:rect id="_x0000_i1030" style="width:66.65pt;height:.75pt" o:hrpct="0" o:hralign="center" o:hrstd="t" o:hrnoshade="t" o:hr="t" fillcolor="black" stroked="f"/>
        </w:pict>
      </w:r>
    </w:p>
    <w:p w14:paraId="51B09031" w14:textId="77777777" w:rsidR="001D7BC7" w:rsidRPr="005A006E" w:rsidRDefault="001D7BC7" w:rsidP="001D7BC7">
      <w:pPr>
        <w:shd w:val="clear" w:color="auto" w:fill="FFFFFF"/>
        <w:spacing w:before="240" w:after="120" w:line="240" w:lineRule="auto"/>
        <w:jc w:val="center"/>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ANNEX III</w:t>
      </w:r>
    </w:p>
    <w:p w14:paraId="7D9890B2" w14:textId="77777777" w:rsidR="001D7BC7" w:rsidRPr="005A006E" w:rsidRDefault="001D7BC7" w:rsidP="001D7BC7">
      <w:pPr>
        <w:shd w:val="clear" w:color="auto" w:fill="FFFFFF"/>
        <w:spacing w:before="240" w:after="120" w:line="240" w:lineRule="auto"/>
        <w:jc w:val="both"/>
        <w:rPr>
          <w:rFonts w:ascii="Times New Roman" w:eastAsia="Times New Roman" w:hAnsi="Times New Roman" w:cs="Times New Roman"/>
          <w:b/>
          <w:bCs/>
          <w:color w:val="000000"/>
          <w:sz w:val="20"/>
          <w:szCs w:val="20"/>
        </w:rPr>
      </w:pPr>
      <w:r w:rsidRPr="005A006E">
        <w:rPr>
          <w:rFonts w:ascii="Times New Roman" w:eastAsia="Times New Roman" w:hAnsi="Times New Roman" w:cs="Times New Roman"/>
          <w:b/>
          <w:bCs/>
          <w:color w:val="000000"/>
          <w:sz w:val="20"/>
          <w:szCs w:val="20"/>
        </w:rPr>
        <w:t>LIST OF SUB-PROCESSORS</w:t>
      </w:r>
    </w:p>
    <w:p w14:paraId="60F40841"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b/>
          <w:bCs/>
          <w:color w:val="000000"/>
          <w:sz w:val="20"/>
          <w:szCs w:val="20"/>
        </w:rPr>
        <w:t>MODULE TWO: Transfer controller to processor</w:t>
      </w:r>
    </w:p>
    <w:p w14:paraId="0CED8EBE"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EXPLANATORY NOTE:</w:t>
      </w:r>
    </w:p>
    <w:p w14:paraId="1089BC6F"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 xml:space="preserve">This Annex must be completed for Modules Two and Three, in case of the specific </w:t>
      </w:r>
      <w:proofErr w:type="spellStart"/>
      <w:r w:rsidRPr="005A006E">
        <w:rPr>
          <w:rFonts w:ascii="Times New Roman" w:eastAsia="Times New Roman" w:hAnsi="Times New Roman" w:cs="Times New Roman"/>
          <w:color w:val="000000"/>
          <w:sz w:val="20"/>
          <w:szCs w:val="20"/>
        </w:rPr>
        <w:t>authorisation</w:t>
      </w:r>
      <w:proofErr w:type="spellEnd"/>
      <w:r w:rsidRPr="005A006E">
        <w:rPr>
          <w:rFonts w:ascii="Times New Roman" w:eastAsia="Times New Roman" w:hAnsi="Times New Roman" w:cs="Times New Roman"/>
          <w:color w:val="000000"/>
          <w:sz w:val="20"/>
          <w:szCs w:val="20"/>
        </w:rPr>
        <w:t xml:space="preserve"> of sub-processors (Clause 9(a), Option 1).</w:t>
      </w:r>
    </w:p>
    <w:p w14:paraId="0F0EA4A7" w14:textId="77777777" w:rsidR="001D7BC7" w:rsidRPr="005A006E" w:rsidRDefault="001D7BC7" w:rsidP="001D7BC7">
      <w:pPr>
        <w:shd w:val="clear" w:color="auto" w:fill="FFFFFF"/>
        <w:spacing w:before="120" w:after="0" w:line="240" w:lineRule="auto"/>
        <w:jc w:val="both"/>
        <w:rPr>
          <w:rFonts w:ascii="Times New Roman" w:eastAsia="Times New Roman" w:hAnsi="Times New Roman" w:cs="Times New Roman"/>
          <w:color w:val="000000"/>
          <w:sz w:val="20"/>
          <w:szCs w:val="20"/>
        </w:rPr>
      </w:pPr>
      <w:r w:rsidRPr="005A006E">
        <w:rPr>
          <w:rFonts w:ascii="Times New Roman" w:eastAsia="Times New Roman" w:hAnsi="Times New Roman" w:cs="Times New Roman"/>
          <w:color w:val="000000"/>
          <w:sz w:val="20"/>
          <w:szCs w:val="20"/>
        </w:rPr>
        <w:t xml:space="preserve">The controller has </w:t>
      </w:r>
      <w:proofErr w:type="spellStart"/>
      <w:r w:rsidRPr="005A006E">
        <w:rPr>
          <w:rFonts w:ascii="Times New Roman" w:eastAsia="Times New Roman" w:hAnsi="Times New Roman" w:cs="Times New Roman"/>
          <w:color w:val="000000"/>
          <w:sz w:val="20"/>
          <w:szCs w:val="20"/>
        </w:rPr>
        <w:t>authorised</w:t>
      </w:r>
      <w:proofErr w:type="spellEnd"/>
      <w:r w:rsidRPr="005A006E">
        <w:rPr>
          <w:rFonts w:ascii="Times New Roman" w:eastAsia="Times New Roman" w:hAnsi="Times New Roman" w:cs="Times New Roman"/>
          <w:color w:val="000000"/>
          <w:sz w:val="20"/>
          <w:szCs w:val="20"/>
        </w:rPr>
        <w:t xml:space="preserve"> the use of the following sub-processors:</w:t>
      </w:r>
    </w:p>
    <w:p w14:paraId="3FCF423B" w14:textId="77777777" w:rsidR="001D7BC7" w:rsidRDefault="001D7BC7" w:rsidP="001D7BC7">
      <w:pPr>
        <w:rPr>
          <w:rFonts w:ascii="Times New Roman" w:hAnsi="Times New Roman" w:cs="Times New Roman"/>
          <w:sz w:val="20"/>
          <w:szCs w:val="20"/>
        </w:rPr>
      </w:pPr>
    </w:p>
    <w:p w14:paraId="0D2CA7AE" w14:textId="77777777" w:rsidR="001D7BC7" w:rsidRDefault="001D7BC7" w:rsidP="001D7BC7">
      <w:pPr>
        <w:rPr>
          <w:rFonts w:ascii="Times New Roman" w:hAnsi="Times New Roman" w:cs="Times New Roman"/>
          <w:sz w:val="20"/>
          <w:szCs w:val="20"/>
        </w:rPr>
      </w:pPr>
      <w:r w:rsidRPr="00BB65A1">
        <w:rPr>
          <w:rFonts w:ascii="Times New Roman" w:hAnsi="Times New Roman" w:cs="Times New Roman"/>
          <w:sz w:val="20"/>
          <w:szCs w:val="20"/>
        </w:rPr>
        <w:t>https://www.cvent.com/uk/gdpr/cvents-affiliates-and-subprocessors</w:t>
      </w:r>
    </w:p>
    <w:p w14:paraId="05297450" w14:textId="77777777" w:rsidR="001D7BC7" w:rsidRDefault="001D7BC7" w:rsidP="001D7BC7">
      <w:pPr>
        <w:rPr>
          <w:rFonts w:ascii="Times New Roman" w:hAnsi="Times New Roman" w:cs="Times New Roman"/>
          <w:sz w:val="20"/>
          <w:szCs w:val="20"/>
        </w:rPr>
      </w:pPr>
    </w:p>
    <w:p w14:paraId="225FDA16" w14:textId="77777777" w:rsidR="001D7BC7" w:rsidRDefault="001D7BC7" w:rsidP="001D7BC7">
      <w:pPr>
        <w:rPr>
          <w:rFonts w:ascii="Times New Roman" w:hAnsi="Times New Roman" w:cs="Times New Roman"/>
          <w:sz w:val="20"/>
          <w:szCs w:val="20"/>
        </w:rPr>
      </w:pPr>
    </w:p>
    <w:p w14:paraId="523E3A3C" w14:textId="77777777" w:rsidR="001D7BC7" w:rsidRDefault="001D7BC7" w:rsidP="001D7BC7">
      <w:pPr>
        <w:rPr>
          <w:rFonts w:ascii="Times New Roman" w:hAnsi="Times New Roman" w:cs="Times New Roman"/>
          <w:sz w:val="20"/>
          <w:szCs w:val="20"/>
        </w:rPr>
      </w:pPr>
    </w:p>
    <w:p w14:paraId="384CEB23" w14:textId="77777777" w:rsidR="001D7BC7" w:rsidRDefault="001D7BC7" w:rsidP="001D7BC7">
      <w:pPr>
        <w:rPr>
          <w:rFonts w:ascii="Times New Roman" w:hAnsi="Times New Roman" w:cs="Times New Roman"/>
          <w:sz w:val="20"/>
          <w:szCs w:val="20"/>
        </w:rPr>
      </w:pPr>
      <w:r>
        <w:rPr>
          <w:rFonts w:ascii="Times New Roman" w:hAnsi="Times New Roman" w:cs="Times New Roman"/>
          <w:sz w:val="20"/>
          <w:szCs w:val="20"/>
        </w:rPr>
        <w:br w:type="page"/>
      </w:r>
    </w:p>
    <w:p w14:paraId="38D180D5" w14:textId="4AB60A31" w:rsidR="001D7BC7" w:rsidRDefault="001D7BC7" w:rsidP="00915E15">
      <w:pPr>
        <w:jc w:val="center"/>
        <w:rPr>
          <w:rFonts w:ascii="Times New Roman" w:hAnsi="Times New Roman"/>
          <w:b/>
          <w:sz w:val="16"/>
          <w:szCs w:val="16"/>
        </w:rPr>
      </w:pPr>
      <w:r w:rsidRPr="00C67B2C">
        <w:rPr>
          <w:rFonts w:ascii="Times New Roman" w:hAnsi="Times New Roman"/>
          <w:b/>
          <w:sz w:val="16"/>
          <w:szCs w:val="16"/>
        </w:rPr>
        <w:lastRenderedPageBreak/>
        <w:t xml:space="preserve">ATTACHMENT 2: </w:t>
      </w:r>
    </w:p>
    <w:p w14:paraId="72D7E5DB" w14:textId="77777777" w:rsidR="00915E15" w:rsidRPr="006720BA" w:rsidRDefault="00915E15" w:rsidP="00915E15">
      <w:pPr>
        <w:spacing w:after="0" w:line="240" w:lineRule="auto"/>
        <w:jc w:val="center"/>
        <w:rPr>
          <w:rFonts w:ascii="Times New Roman" w:hAnsi="Times New Roman" w:cs="Times New Roman"/>
          <w:b/>
          <w:bCs/>
          <w:sz w:val="16"/>
          <w:szCs w:val="16"/>
        </w:rPr>
      </w:pPr>
      <w:r w:rsidRPr="006720BA">
        <w:rPr>
          <w:rFonts w:ascii="Times New Roman" w:hAnsi="Times New Roman" w:cs="Times New Roman"/>
          <w:b/>
          <w:bCs/>
          <w:sz w:val="16"/>
          <w:szCs w:val="16"/>
        </w:rPr>
        <w:t>International Data Transfer Addendum to the EU Commission Standard Contractual Clauses</w:t>
      </w:r>
    </w:p>
    <w:p w14:paraId="5F99E649" w14:textId="77777777" w:rsidR="00915E15" w:rsidRPr="006720BA" w:rsidRDefault="00915E15" w:rsidP="00915E15">
      <w:pPr>
        <w:pBdr>
          <w:bottom w:val="single" w:sz="4" w:space="16" w:color="003768"/>
        </w:pBdr>
        <w:spacing w:before="200" w:after="360"/>
        <w:jc w:val="center"/>
        <w:rPr>
          <w:rFonts w:ascii="Times New Roman" w:eastAsia="Times New Roman" w:hAnsi="Times New Roman" w:cs="Times New Roman"/>
          <w:bCs/>
          <w:sz w:val="16"/>
          <w:szCs w:val="16"/>
        </w:rPr>
      </w:pPr>
      <w:r w:rsidRPr="006720BA">
        <w:rPr>
          <w:rFonts w:ascii="Times New Roman" w:eastAsia="Times New Roman" w:hAnsi="Times New Roman" w:cs="Times New Roman"/>
          <w:bCs/>
          <w:sz w:val="16"/>
          <w:szCs w:val="16"/>
        </w:rPr>
        <w:t>VERSION B1.0, in force 21 March 2022</w:t>
      </w:r>
    </w:p>
    <w:p w14:paraId="2E2475BB" w14:textId="77777777" w:rsidR="00915E15" w:rsidRPr="006720BA" w:rsidRDefault="00915E15" w:rsidP="00915E15">
      <w:pPr>
        <w:jc w:val="both"/>
        <w:rPr>
          <w:rFonts w:ascii="Times New Roman" w:hAnsi="Times New Roman" w:cs="Times New Roman"/>
          <w:sz w:val="16"/>
          <w:szCs w:val="16"/>
        </w:rPr>
      </w:pPr>
      <w:r w:rsidRPr="006720BA">
        <w:rPr>
          <w:rFonts w:ascii="Times New Roman" w:eastAsia="Times New Roman" w:hAnsi="Times New Roman" w:cs="Times New Roman"/>
          <w:sz w:val="16"/>
          <w:szCs w:val="16"/>
        </w:rPr>
        <w:t>This</w:t>
      </w:r>
      <w:bookmarkStart w:id="19" w:name="_Hlk92884578"/>
      <w:r w:rsidRPr="006720BA">
        <w:rPr>
          <w:rFonts w:ascii="Times New Roman" w:eastAsia="Times New Roman" w:hAnsi="Times New Roman" w:cs="Times New Roman"/>
          <w:sz w:val="16"/>
          <w:szCs w:val="16"/>
        </w:rPr>
        <w:t xml:space="preserve"> </w:t>
      </w:r>
      <w:r w:rsidRPr="006720BA">
        <w:rPr>
          <w:rFonts w:ascii="Times New Roman" w:hAnsi="Times New Roman" w:cs="Times New Roman"/>
          <w:sz w:val="16"/>
          <w:szCs w:val="16"/>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0" w:name="_Hlk92885565"/>
      <w:bookmarkEnd w:id="19"/>
    </w:p>
    <w:p w14:paraId="47C56066" w14:textId="77777777" w:rsidR="00915E15" w:rsidRPr="006720BA" w:rsidRDefault="00915E15" w:rsidP="00915E15">
      <w:pPr>
        <w:pStyle w:val="Heading2"/>
        <w:rPr>
          <w:rFonts w:ascii="Times New Roman" w:hAnsi="Times New Roman" w:cs="Times New Roman"/>
          <w:color w:val="auto"/>
          <w:sz w:val="16"/>
          <w:szCs w:val="16"/>
        </w:rPr>
      </w:pPr>
      <w:bookmarkStart w:id="21" w:name="_Toc79405424"/>
      <w:r w:rsidRPr="006720BA">
        <w:rPr>
          <w:rFonts w:ascii="Times New Roman" w:hAnsi="Times New Roman" w:cs="Times New Roman"/>
          <w:color w:val="auto"/>
          <w:sz w:val="16"/>
          <w:szCs w:val="16"/>
        </w:rPr>
        <w:t>Part 1: Tables</w:t>
      </w:r>
      <w:bookmarkEnd w:id="21"/>
    </w:p>
    <w:p w14:paraId="7A0FFE3F" w14:textId="77777777" w:rsidR="00915E15" w:rsidRPr="006720BA" w:rsidRDefault="00915E15" w:rsidP="00915E15">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01"/>
        <w:gridCol w:w="3574"/>
        <w:gridCol w:w="3575"/>
      </w:tblGrid>
      <w:tr w:rsidR="00915E15" w:rsidRPr="006720BA" w14:paraId="0D03C581" w14:textId="77777777" w:rsidTr="00C131CD">
        <w:tc>
          <w:tcPr>
            <w:tcW w:w="1177" w:type="pct"/>
            <w:tcBorders>
              <w:top w:val="single" w:sz="4" w:space="0" w:color="FFC000"/>
            </w:tcBorders>
            <w:shd w:val="clear" w:color="auto" w:fill="FFF9DD"/>
          </w:tcPr>
          <w:p w14:paraId="5299A4E1"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Start date</w:t>
            </w:r>
          </w:p>
        </w:tc>
        <w:tc>
          <w:tcPr>
            <w:tcW w:w="3823" w:type="pct"/>
            <w:gridSpan w:val="2"/>
            <w:tcBorders>
              <w:top w:val="single" w:sz="4" w:space="0" w:color="FFC000"/>
            </w:tcBorders>
            <w:shd w:val="clear" w:color="auto" w:fill="auto"/>
          </w:tcPr>
          <w:p w14:paraId="6B573E74" w14:textId="77777777" w:rsidR="00915E15" w:rsidRPr="006720BA" w:rsidRDefault="00915E15" w:rsidP="00C131CD">
            <w:pPr>
              <w:pStyle w:val="Body"/>
              <w:jc w:val="both"/>
              <w:rPr>
                <w:rFonts w:ascii="Times New Roman" w:hAnsi="Times New Roman" w:cs="Times New Roman"/>
                <w:sz w:val="16"/>
                <w:szCs w:val="16"/>
              </w:rPr>
            </w:pPr>
            <w:r>
              <w:rPr>
                <w:rFonts w:ascii="Times New Roman" w:hAnsi="Times New Roman" w:cs="Times New Roman"/>
                <w:sz w:val="16"/>
                <w:szCs w:val="16"/>
              </w:rPr>
              <w:t>Effective Date of the Services Agreement(s) entered into by and between Exporter and Importer (“Agreement”)</w:t>
            </w:r>
          </w:p>
        </w:tc>
      </w:tr>
      <w:tr w:rsidR="00915E15" w:rsidRPr="006720BA" w14:paraId="4671D45D" w14:textId="77777777" w:rsidTr="00C131CD">
        <w:tc>
          <w:tcPr>
            <w:tcW w:w="1177" w:type="pct"/>
            <w:shd w:val="clear" w:color="auto" w:fill="FFF0A9"/>
            <w:vAlign w:val="center"/>
          </w:tcPr>
          <w:p w14:paraId="64BCA5ED"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The Parties</w:t>
            </w:r>
          </w:p>
        </w:tc>
        <w:tc>
          <w:tcPr>
            <w:tcW w:w="1911" w:type="pct"/>
            <w:shd w:val="clear" w:color="auto" w:fill="FFF0A9"/>
            <w:vAlign w:val="center"/>
          </w:tcPr>
          <w:p w14:paraId="34365A8D"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Exporter (who sends the Restricted Transfer)</w:t>
            </w:r>
          </w:p>
        </w:tc>
        <w:tc>
          <w:tcPr>
            <w:tcW w:w="1912" w:type="pct"/>
            <w:shd w:val="clear" w:color="auto" w:fill="FFF0A9"/>
            <w:vAlign w:val="center"/>
          </w:tcPr>
          <w:p w14:paraId="243CAAD1"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Importer (who receives the Restricted Transfer)</w:t>
            </w:r>
          </w:p>
        </w:tc>
      </w:tr>
      <w:tr w:rsidR="00915E15" w:rsidRPr="006720BA" w14:paraId="33670595" w14:textId="77777777" w:rsidTr="00C131CD">
        <w:tc>
          <w:tcPr>
            <w:tcW w:w="1177" w:type="pct"/>
            <w:shd w:val="clear" w:color="auto" w:fill="FFF9DD"/>
          </w:tcPr>
          <w:p w14:paraId="17ECD5B8"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Parties’ details</w:t>
            </w:r>
          </w:p>
        </w:tc>
        <w:tc>
          <w:tcPr>
            <w:tcW w:w="1911" w:type="pct"/>
          </w:tcPr>
          <w:p w14:paraId="73CFB6D4"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bookmarkStart w:id="22" w:name="_Hlk93316049"/>
            <w:r w:rsidRPr="006720BA">
              <w:rPr>
                <w:rFonts w:ascii="Times New Roman" w:hAnsi="Times New Roman" w:cs="Times New Roman"/>
                <w:sz w:val="16"/>
                <w:szCs w:val="16"/>
                <w:highlight w:val="lightGray"/>
              </w:rPr>
              <w:fldChar w:fldCharType="begin" w:fldLock="1">
                <w:ffData>
                  <w:name w:val="Text2"/>
                  <w:enabled/>
                  <w:calcOnExit w:val="0"/>
                  <w:textInput/>
                </w:ffData>
              </w:fldChar>
            </w:r>
            <w:bookmarkStart w:id="23" w:name="Text2"/>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bookmarkEnd w:id="22"/>
            <w:bookmarkEnd w:id="23"/>
          </w:p>
          <w:p w14:paraId="02A5CBB2"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2D8415B3"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3F414A0C"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46C28CEB"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r>
              <w:rPr>
                <w:rFonts w:ascii="Times New Roman" w:hAnsi="Times New Roman" w:cs="Times New Roman"/>
                <w:sz w:val="16"/>
                <w:szCs w:val="16"/>
              </w:rPr>
              <w:t>Cvent, Inc.</w:t>
            </w:r>
          </w:p>
          <w:p w14:paraId="30A4F60E"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43803307"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Pr>
                <w:rFonts w:ascii="Times New Roman" w:hAnsi="Times New Roman" w:cs="Times New Roman"/>
                <w:sz w:val="16"/>
                <w:szCs w:val="16"/>
              </w:rPr>
              <w:t>1765 Greensboro Station Place, Suite 700, Tysons Corner, VA 22102</w:t>
            </w:r>
          </w:p>
          <w:p w14:paraId="2832795F"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r>
      <w:tr w:rsidR="00915E15" w:rsidRPr="006720BA" w14:paraId="3E5E5A00" w14:textId="77777777" w:rsidTr="00C131CD">
        <w:tc>
          <w:tcPr>
            <w:tcW w:w="1177" w:type="pct"/>
            <w:shd w:val="clear" w:color="auto" w:fill="FFF9DD"/>
          </w:tcPr>
          <w:p w14:paraId="124DF754"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Key Contact</w:t>
            </w:r>
          </w:p>
        </w:tc>
        <w:tc>
          <w:tcPr>
            <w:tcW w:w="1911" w:type="pct"/>
          </w:tcPr>
          <w:p w14:paraId="54160EF5"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6D48A4BE"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16E501C4"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6A816FAD"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Pr>
                <w:rFonts w:ascii="Times New Roman" w:hAnsi="Times New Roman" w:cs="Times New Roman"/>
                <w:sz w:val="16"/>
                <w:szCs w:val="16"/>
              </w:rPr>
              <w:t>Edwin Szeto</w:t>
            </w:r>
          </w:p>
          <w:p w14:paraId="02A637E3"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Pr>
                <w:rFonts w:ascii="Times New Roman" w:hAnsi="Times New Roman" w:cs="Times New Roman"/>
                <w:sz w:val="16"/>
                <w:szCs w:val="16"/>
              </w:rPr>
              <w:t>VP and Assistant General Counsel</w:t>
            </w:r>
          </w:p>
          <w:p w14:paraId="3DBAB27E"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hyperlink r:id="rId23" w:history="1">
              <w:r w:rsidRPr="0015358F">
                <w:rPr>
                  <w:rStyle w:val="Hyperlink"/>
                  <w:rFonts w:ascii="Times New Roman" w:hAnsi="Times New Roman" w:cs="Times New Roman"/>
                  <w:sz w:val="16"/>
                  <w:szCs w:val="16"/>
                </w:rPr>
                <w:t>eszeto@cvent.com</w:t>
              </w:r>
            </w:hyperlink>
            <w:r>
              <w:rPr>
                <w:rFonts w:ascii="Times New Roman" w:hAnsi="Times New Roman" w:cs="Times New Roman"/>
                <w:sz w:val="16"/>
                <w:szCs w:val="16"/>
              </w:rPr>
              <w:t xml:space="preserve"> </w:t>
            </w:r>
          </w:p>
        </w:tc>
      </w:tr>
      <w:tr w:rsidR="00915E15" w:rsidRPr="006720BA" w14:paraId="318936EE" w14:textId="77777777" w:rsidTr="00C131CD">
        <w:tc>
          <w:tcPr>
            <w:tcW w:w="1177" w:type="pct"/>
            <w:tcBorders>
              <w:bottom w:val="single" w:sz="18" w:space="0" w:color="FFC000"/>
            </w:tcBorders>
            <w:shd w:val="clear" w:color="auto" w:fill="FFF9DD"/>
          </w:tcPr>
          <w:p w14:paraId="44AF94C1"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Signature (if required for the purposes of Section ‎2)</w:t>
            </w:r>
          </w:p>
        </w:tc>
        <w:tc>
          <w:tcPr>
            <w:tcW w:w="1911" w:type="pct"/>
            <w:tcBorders>
              <w:bottom w:val="single" w:sz="18" w:space="0" w:color="FFC000"/>
            </w:tcBorders>
          </w:tcPr>
          <w:p w14:paraId="1EEA9964" w14:textId="4CEB08E2" w:rsidR="00915E15" w:rsidRPr="006720BA" w:rsidRDefault="008C531A" w:rsidP="00C131CD">
            <w:pPr>
              <w:pStyle w:val="Body"/>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bookmarkStart w:id="24" w:name="Text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4"/>
          </w:p>
        </w:tc>
        <w:tc>
          <w:tcPr>
            <w:tcW w:w="1912" w:type="pct"/>
            <w:tcBorders>
              <w:bottom w:val="single" w:sz="18" w:space="0" w:color="FFC000"/>
            </w:tcBorders>
          </w:tcPr>
          <w:p w14:paraId="290B4CAC" w14:textId="77777777" w:rsidR="00915E15" w:rsidRPr="006720BA" w:rsidRDefault="00915E15" w:rsidP="00C131CD">
            <w:pPr>
              <w:pStyle w:val="Body"/>
              <w:rPr>
                <w:rFonts w:ascii="Times New Roman" w:hAnsi="Times New Roman" w:cs="Times New Roman"/>
                <w:sz w:val="16"/>
                <w:szCs w:val="16"/>
              </w:rPr>
            </w:pPr>
            <w:r w:rsidRPr="000B7A1B">
              <w:rPr>
                <w:rFonts w:ascii="Times New Roman" w:hAnsi="Times New Roman"/>
                <w:noProof/>
                <w:sz w:val="16"/>
                <w:szCs w:val="16"/>
              </w:rPr>
              <w:drawing>
                <wp:inline distT="0" distB="0" distL="0" distR="0" wp14:anchorId="47DAFA0E" wp14:editId="36B7BAF6">
                  <wp:extent cx="1688465" cy="327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tc>
      </w:tr>
    </w:tbl>
    <w:p w14:paraId="780D1722" w14:textId="77777777" w:rsidR="00915E15" w:rsidRPr="006720BA" w:rsidRDefault="00915E15" w:rsidP="00915E15">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99"/>
        <w:gridCol w:w="7157"/>
      </w:tblGrid>
      <w:tr w:rsidR="00915E15" w:rsidRPr="006720BA" w14:paraId="10064F22" w14:textId="77777777" w:rsidTr="00C131CD">
        <w:tc>
          <w:tcPr>
            <w:tcW w:w="1175" w:type="pct"/>
            <w:shd w:val="clear" w:color="auto" w:fill="FFF9DD"/>
          </w:tcPr>
          <w:p w14:paraId="293D68EA"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Addendum EU SCCs</w:t>
            </w:r>
          </w:p>
        </w:tc>
        <w:tc>
          <w:tcPr>
            <w:tcW w:w="3825" w:type="pct"/>
          </w:tcPr>
          <w:p w14:paraId="33EEB2B3" w14:textId="77777777" w:rsidR="00915E15" w:rsidRPr="006720BA" w:rsidRDefault="00915E15" w:rsidP="00C131CD">
            <w:pPr>
              <w:pStyle w:val="Bodyindent"/>
              <w:jc w:val="both"/>
              <w:rPr>
                <w:rFonts w:ascii="Times New Roman" w:eastAsia="Verdana" w:hAnsi="Times New Roman"/>
                <w:sz w:val="16"/>
                <w:szCs w:val="16"/>
              </w:rPr>
            </w:pPr>
            <w:r>
              <w:rPr>
                <w:rFonts w:ascii="Times New Roman" w:eastAsia="Verdana" w:hAnsi="Times New Roman"/>
                <w:sz w:val="16"/>
                <w:szCs w:val="16"/>
              </w:rPr>
              <w:fldChar w:fldCharType="begin">
                <w:ffData>
                  <w:name w:val=""/>
                  <w:enabled/>
                  <w:calcOnExit w:val="0"/>
                  <w:checkBox>
                    <w:size w:val="16"/>
                    <w:default w:val="1"/>
                  </w:checkBox>
                </w:ffData>
              </w:fldChar>
            </w:r>
            <w:r>
              <w:rPr>
                <w:rFonts w:ascii="Times New Roman" w:eastAsia="Verdana" w:hAnsi="Times New Roman"/>
                <w:sz w:val="16"/>
                <w:szCs w:val="16"/>
              </w:rPr>
              <w:instrText xml:space="preserve"> FORMCHECKBOX </w:instrText>
            </w:r>
            <w:r w:rsidR="00143C8B">
              <w:rPr>
                <w:rFonts w:ascii="Times New Roman" w:eastAsia="Verdana" w:hAnsi="Times New Roman"/>
                <w:sz w:val="16"/>
                <w:szCs w:val="16"/>
              </w:rPr>
            </w:r>
            <w:r w:rsidR="00143C8B">
              <w:rPr>
                <w:rFonts w:ascii="Times New Roman" w:eastAsia="Verdana" w:hAnsi="Times New Roman"/>
                <w:sz w:val="16"/>
                <w:szCs w:val="16"/>
              </w:rPr>
              <w:fldChar w:fldCharType="separate"/>
            </w:r>
            <w:r>
              <w:rPr>
                <w:rFonts w:ascii="Times New Roman" w:eastAsia="Verdana" w:hAnsi="Times New Roman"/>
                <w:sz w:val="16"/>
                <w:szCs w:val="16"/>
              </w:rPr>
              <w:fldChar w:fldCharType="end"/>
            </w:r>
            <w:r w:rsidRPr="006720BA">
              <w:rPr>
                <w:rFonts w:ascii="Times New Roman" w:eastAsia="Verdana" w:hAnsi="Times New Roman"/>
                <w:sz w:val="16"/>
                <w:szCs w:val="16"/>
              </w:rPr>
              <w:t xml:space="preserve"> The version of the Approved EU SCCs which this Addendum is appended to, detailed below, including the Appendix Information:</w:t>
            </w:r>
          </w:p>
          <w:p w14:paraId="674A40C3"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Date:</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26A35A79"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Reference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63D2A16E"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Other identifier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2287F21F"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Or</w:t>
            </w:r>
          </w:p>
          <w:p w14:paraId="54605E16" w14:textId="77777777" w:rsidR="00915E15" w:rsidRPr="006720BA" w:rsidRDefault="00915E15" w:rsidP="00C131CD">
            <w:pPr>
              <w:pStyle w:val="Bodyindent"/>
              <w:jc w:val="both"/>
              <w:rPr>
                <w:rFonts w:ascii="Times New Roman" w:hAnsi="Times New Roman"/>
                <w:sz w:val="16"/>
                <w:szCs w:val="16"/>
              </w:rPr>
            </w:pPr>
            <w:r w:rsidRPr="006720BA">
              <w:rPr>
                <w:rFonts w:ascii="Times New Roman" w:eastAsia="Verdana" w:hAnsi="Times New Roman"/>
                <w:sz w:val="16"/>
                <w:szCs w:val="16"/>
              </w:rPr>
              <w:lastRenderedPageBreak/>
              <w:fldChar w:fldCharType="begin" w:fldLock="1">
                <w:ffData>
                  <w:name w:val=""/>
                  <w:enabled/>
                  <w:calcOnExit w:val="0"/>
                  <w:checkBox>
                    <w:size w:val="16"/>
                    <w:default w:val="0"/>
                  </w:checkBox>
                </w:ffData>
              </w:fldChar>
            </w:r>
            <w:r w:rsidRPr="006720BA">
              <w:rPr>
                <w:rFonts w:ascii="Times New Roman" w:eastAsia="Verdana" w:hAnsi="Times New Roman"/>
                <w:sz w:val="16"/>
                <w:szCs w:val="16"/>
              </w:rPr>
              <w:instrText xml:space="preserve"> FORMCHECKBOX </w:instrText>
            </w:r>
            <w:r w:rsidR="00143C8B">
              <w:rPr>
                <w:rFonts w:ascii="Times New Roman" w:eastAsia="Verdana" w:hAnsi="Times New Roman"/>
                <w:sz w:val="16"/>
                <w:szCs w:val="16"/>
              </w:rPr>
            </w:r>
            <w:r w:rsidR="00143C8B">
              <w:rPr>
                <w:rFonts w:ascii="Times New Roman" w:eastAsia="Verdana" w:hAnsi="Times New Roman"/>
                <w:sz w:val="16"/>
                <w:szCs w:val="16"/>
              </w:rPr>
              <w:fldChar w:fldCharType="separate"/>
            </w:r>
            <w:r w:rsidRPr="006720BA">
              <w:rPr>
                <w:rFonts w:ascii="Times New Roman" w:eastAsia="Verdana" w:hAnsi="Times New Roman"/>
                <w:sz w:val="16"/>
                <w:szCs w:val="16"/>
              </w:rPr>
              <w:fldChar w:fldCharType="end"/>
            </w:r>
            <w:r w:rsidRPr="006720BA">
              <w:rPr>
                <w:rFonts w:ascii="Times New Roman" w:eastAsia="Verdana" w:hAnsi="Times New Roman"/>
                <w:sz w:val="16"/>
                <w:szCs w:val="16"/>
              </w:rPr>
              <w:t xml:space="preserve"> the Approved EU SCCs, including the Appendix Information and with only the </w:t>
            </w:r>
            <w:r w:rsidRPr="006720BA">
              <w:rPr>
                <w:rFonts w:ascii="Times New Roman" w:hAnsi="Times New Roman"/>
                <w:sz w:val="16"/>
                <w:szCs w:val="16"/>
              </w:rPr>
              <w:t xml:space="preserve">following modules, clauses or optional provisions of the Approved EU SCCs brought into effect for the purposes of this Addendum: </w:t>
            </w:r>
          </w:p>
        </w:tc>
      </w:tr>
    </w:tbl>
    <w:p w14:paraId="5D16765C" w14:textId="77777777" w:rsidR="00915E15" w:rsidRPr="006720BA" w:rsidRDefault="00915E15" w:rsidP="00915E15">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lastRenderedPageBreak/>
        <w:t>Table 3: Appendix Information</w:t>
      </w:r>
    </w:p>
    <w:p w14:paraId="41C78B4D" w14:textId="77777777" w:rsidR="00915E15" w:rsidRPr="006720BA" w:rsidRDefault="00915E15" w:rsidP="00915E15">
      <w:pPr>
        <w:jc w:val="both"/>
        <w:rPr>
          <w:rFonts w:ascii="Times New Roman" w:hAnsi="Times New Roman" w:cs="Times New Roman"/>
          <w:sz w:val="16"/>
          <w:szCs w:val="16"/>
        </w:rPr>
      </w:pPr>
      <w:r w:rsidRPr="006720BA">
        <w:rPr>
          <w:rFonts w:ascii="Times New Roman" w:hAnsi="Times New Roman" w:cs="Times New Roman"/>
          <w:sz w:val="16"/>
          <w:szCs w:val="16"/>
        </w:rPr>
        <w:t>“</w:t>
      </w:r>
      <w:r w:rsidRPr="006720BA">
        <w:rPr>
          <w:rFonts w:ascii="Times New Roman" w:hAnsi="Times New Roman" w:cs="Times New Roman"/>
          <w:b/>
          <w:bCs/>
          <w:sz w:val="16"/>
          <w:szCs w:val="16"/>
        </w:rPr>
        <w:t>Appendix Information</w:t>
      </w:r>
      <w:r w:rsidRPr="006720BA">
        <w:rPr>
          <w:rFonts w:ascii="Times New Roman" w:hAnsi="Times New Roman" w:cs="Times New Roman"/>
          <w:sz w:val="16"/>
          <w:szCs w:val="16"/>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915E15" w:rsidRPr="006720BA" w14:paraId="3EBFEED4" w14:textId="77777777" w:rsidTr="00C131CD">
        <w:tc>
          <w:tcPr>
            <w:tcW w:w="9017" w:type="dxa"/>
          </w:tcPr>
          <w:p w14:paraId="1F37E7AF" w14:textId="77777777" w:rsidR="00915E15" w:rsidRPr="006720BA" w:rsidRDefault="00915E15" w:rsidP="00C131CD">
            <w:pPr>
              <w:pStyle w:val="Body"/>
              <w:jc w:val="both"/>
              <w:rPr>
                <w:rFonts w:ascii="Times New Roman" w:hAnsi="Times New Roman"/>
                <w:sz w:val="16"/>
                <w:szCs w:val="16"/>
              </w:rPr>
            </w:pPr>
            <w:r w:rsidRPr="006720BA">
              <w:rPr>
                <w:rFonts w:ascii="Times New Roman" w:hAnsi="Times New Roman"/>
                <w:sz w:val="16"/>
                <w:szCs w:val="16"/>
              </w:rPr>
              <w:t xml:space="preserve">Annex 1A: List of Parties: </w:t>
            </w:r>
            <w:r>
              <w:rPr>
                <w:rFonts w:ascii="Times New Roman" w:hAnsi="Times New Roman"/>
                <w:sz w:val="16"/>
                <w:szCs w:val="16"/>
              </w:rPr>
              <w:t>The Data Exporter and Data Importer as defined in Annex I of the EU SCCs above.</w:t>
            </w:r>
          </w:p>
        </w:tc>
      </w:tr>
      <w:tr w:rsidR="00915E15" w:rsidRPr="006720BA" w14:paraId="234786D8" w14:textId="77777777" w:rsidTr="00C131CD">
        <w:tc>
          <w:tcPr>
            <w:tcW w:w="9017" w:type="dxa"/>
          </w:tcPr>
          <w:p w14:paraId="643A1514" w14:textId="77777777" w:rsidR="00915E15" w:rsidRPr="006720BA" w:rsidRDefault="00915E15" w:rsidP="00C131CD">
            <w:pPr>
              <w:pStyle w:val="Body"/>
              <w:jc w:val="both"/>
              <w:rPr>
                <w:rFonts w:ascii="Times New Roman" w:hAnsi="Times New Roman"/>
                <w:sz w:val="16"/>
                <w:szCs w:val="16"/>
              </w:rPr>
            </w:pPr>
            <w:r w:rsidRPr="006720BA">
              <w:rPr>
                <w:rFonts w:ascii="Times New Roman" w:hAnsi="Times New Roman"/>
                <w:sz w:val="16"/>
                <w:szCs w:val="16"/>
              </w:rPr>
              <w:t xml:space="preserve">Annex 1B: Description of Transfer: </w:t>
            </w:r>
            <w:r>
              <w:rPr>
                <w:rFonts w:ascii="Times New Roman" w:hAnsi="Times New Roman"/>
                <w:sz w:val="16"/>
                <w:szCs w:val="16"/>
              </w:rPr>
              <w:t>As set out in Annex I of the EU SCCs above.</w:t>
            </w:r>
          </w:p>
        </w:tc>
      </w:tr>
      <w:tr w:rsidR="00915E15" w:rsidRPr="006720BA" w14:paraId="2A00AC7D" w14:textId="77777777" w:rsidTr="00C131CD">
        <w:tc>
          <w:tcPr>
            <w:tcW w:w="9017" w:type="dxa"/>
          </w:tcPr>
          <w:p w14:paraId="0A0CD980" w14:textId="77777777" w:rsidR="00915E15" w:rsidRPr="006720BA" w:rsidRDefault="00915E15" w:rsidP="00C131CD">
            <w:pPr>
              <w:pStyle w:val="Body"/>
              <w:jc w:val="both"/>
              <w:rPr>
                <w:rFonts w:ascii="Times New Roman" w:hAnsi="Times New Roman"/>
                <w:sz w:val="16"/>
                <w:szCs w:val="16"/>
              </w:rPr>
            </w:pPr>
            <w:r w:rsidRPr="006720BA">
              <w:rPr>
                <w:rFonts w:ascii="Times New Roman" w:hAnsi="Times New Roman"/>
                <w:sz w:val="16"/>
                <w:szCs w:val="16"/>
              </w:rPr>
              <w:t xml:space="preserve">Annex II: Technical and organisational measures including technical and organisational measures to ensure the security of the data: </w:t>
            </w:r>
            <w:r>
              <w:rPr>
                <w:rFonts w:ascii="Times New Roman" w:hAnsi="Times New Roman"/>
                <w:sz w:val="16"/>
                <w:szCs w:val="16"/>
              </w:rPr>
              <w:t>As set out in Annex II of the EU SCCs above.</w:t>
            </w:r>
          </w:p>
        </w:tc>
      </w:tr>
      <w:tr w:rsidR="00915E15" w:rsidRPr="006720BA" w14:paraId="6F7EE078" w14:textId="77777777" w:rsidTr="00C131CD">
        <w:tc>
          <w:tcPr>
            <w:tcW w:w="9017" w:type="dxa"/>
            <w:tcBorders>
              <w:bottom w:val="single" w:sz="18" w:space="0" w:color="FFC000"/>
            </w:tcBorders>
          </w:tcPr>
          <w:p w14:paraId="76E5F898" w14:textId="77777777" w:rsidR="00915E15" w:rsidRPr="006720BA" w:rsidRDefault="00915E15" w:rsidP="00C131CD">
            <w:pPr>
              <w:pStyle w:val="Body"/>
              <w:jc w:val="both"/>
              <w:rPr>
                <w:rFonts w:ascii="Times New Roman" w:hAnsi="Times New Roman"/>
                <w:sz w:val="16"/>
                <w:szCs w:val="16"/>
              </w:rPr>
            </w:pPr>
            <w:r w:rsidRPr="006720BA">
              <w:rPr>
                <w:rFonts w:ascii="Times New Roman" w:hAnsi="Times New Roman"/>
                <w:sz w:val="16"/>
                <w:szCs w:val="16"/>
              </w:rPr>
              <w:t xml:space="preserve">Annex III: List of Sub processors (Modules 2 and 3 only): </w:t>
            </w:r>
            <w:r>
              <w:rPr>
                <w:rFonts w:ascii="Times New Roman" w:hAnsi="Times New Roman"/>
                <w:sz w:val="16"/>
                <w:szCs w:val="16"/>
              </w:rPr>
              <w:t>As set out in Annex III of the EU SCCs above.</w:t>
            </w:r>
          </w:p>
        </w:tc>
      </w:tr>
    </w:tbl>
    <w:p w14:paraId="7176422B" w14:textId="77777777" w:rsidR="00915E15" w:rsidRPr="006720BA" w:rsidRDefault="00915E15" w:rsidP="00915E15">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90"/>
        <w:gridCol w:w="7560"/>
      </w:tblGrid>
      <w:tr w:rsidR="00915E15" w:rsidRPr="006720BA" w14:paraId="0D4224C6" w14:textId="77777777" w:rsidTr="00C131CD">
        <w:tc>
          <w:tcPr>
            <w:tcW w:w="957" w:type="pct"/>
            <w:tcBorders>
              <w:bottom w:val="single" w:sz="18" w:space="0" w:color="FFC000"/>
            </w:tcBorders>
            <w:shd w:val="clear" w:color="auto" w:fill="FFF9DD"/>
          </w:tcPr>
          <w:p w14:paraId="60D55F15" w14:textId="77777777" w:rsidR="00915E15" w:rsidRPr="006720BA" w:rsidRDefault="00915E15" w:rsidP="00C131CD">
            <w:pPr>
              <w:pStyle w:val="Body"/>
              <w:rPr>
                <w:rFonts w:ascii="Times New Roman" w:hAnsi="Times New Roman"/>
                <w:b/>
                <w:bCs/>
                <w:sz w:val="16"/>
                <w:szCs w:val="16"/>
              </w:rPr>
            </w:pPr>
            <w:r w:rsidRPr="006720BA">
              <w:rPr>
                <w:rFonts w:ascii="Times New Roman" w:hAnsi="Times New Roman"/>
                <w:b/>
                <w:bCs/>
                <w:sz w:val="16"/>
                <w:szCs w:val="16"/>
              </w:rPr>
              <w:t>Ending this Addendum when the Approved Addendum changes</w:t>
            </w:r>
          </w:p>
        </w:tc>
        <w:tc>
          <w:tcPr>
            <w:tcW w:w="4043" w:type="pct"/>
            <w:tcBorders>
              <w:bottom w:val="single" w:sz="18" w:space="0" w:color="FFC000"/>
            </w:tcBorders>
          </w:tcPr>
          <w:p w14:paraId="74ADA562" w14:textId="77777777" w:rsidR="00915E15" w:rsidRPr="006720BA" w:rsidRDefault="00915E15" w:rsidP="00C131CD">
            <w:pPr>
              <w:pStyle w:val="Body"/>
              <w:rPr>
                <w:rFonts w:ascii="Times New Roman" w:hAnsi="Times New Roman"/>
                <w:sz w:val="16"/>
                <w:szCs w:val="16"/>
              </w:rPr>
            </w:pPr>
            <w:r w:rsidRPr="006720BA">
              <w:rPr>
                <w:rFonts w:ascii="Times New Roman" w:hAnsi="Times New Roman"/>
                <w:sz w:val="16"/>
                <w:szCs w:val="16"/>
              </w:rPr>
              <w:t xml:space="preserve">Which Parties may end this Addendum as set out in Section </w:t>
            </w:r>
            <w:r w:rsidRPr="006720BA">
              <w:rPr>
                <w:rFonts w:ascii="Times New Roman" w:hAnsi="Times New Roman"/>
                <w:sz w:val="16"/>
                <w:szCs w:val="16"/>
              </w:rPr>
              <w:fldChar w:fldCharType="begin"/>
            </w:r>
            <w:r w:rsidRPr="006720BA">
              <w:rPr>
                <w:rFonts w:ascii="Times New Roman" w:hAnsi="Times New Roman"/>
                <w:sz w:val="16"/>
                <w:szCs w:val="16"/>
              </w:rPr>
              <w:instrText xml:space="preserve"> REF _Ref93329888 \r \h  \* MERGEFORMAT </w:instrText>
            </w:r>
            <w:r w:rsidRPr="006720BA">
              <w:rPr>
                <w:rFonts w:ascii="Times New Roman" w:hAnsi="Times New Roman"/>
                <w:sz w:val="16"/>
                <w:szCs w:val="16"/>
              </w:rPr>
            </w:r>
            <w:r w:rsidRPr="006720BA">
              <w:rPr>
                <w:rFonts w:ascii="Times New Roman" w:hAnsi="Times New Roman"/>
                <w:sz w:val="16"/>
                <w:szCs w:val="16"/>
              </w:rPr>
              <w:fldChar w:fldCharType="separate"/>
            </w:r>
            <w:r w:rsidRPr="006720BA">
              <w:rPr>
                <w:rFonts w:ascii="Times New Roman" w:hAnsi="Times New Roman"/>
                <w:sz w:val="16"/>
                <w:szCs w:val="16"/>
                <w:cs/>
              </w:rPr>
              <w:t>‎</w:t>
            </w:r>
            <w:r w:rsidRPr="006720BA">
              <w:rPr>
                <w:rFonts w:ascii="Times New Roman" w:hAnsi="Times New Roman"/>
                <w:sz w:val="16"/>
                <w:szCs w:val="16"/>
              </w:rPr>
              <w:t>19</w:t>
            </w:r>
            <w:r w:rsidRPr="006720BA">
              <w:rPr>
                <w:rFonts w:ascii="Times New Roman" w:hAnsi="Times New Roman"/>
                <w:sz w:val="16"/>
                <w:szCs w:val="16"/>
              </w:rPr>
              <w:fldChar w:fldCharType="end"/>
            </w:r>
            <w:r w:rsidRPr="006720BA">
              <w:rPr>
                <w:rFonts w:ascii="Times New Roman" w:hAnsi="Times New Roman"/>
                <w:sz w:val="16"/>
                <w:szCs w:val="16"/>
              </w:rPr>
              <w:t>:</w:t>
            </w:r>
          </w:p>
          <w:p w14:paraId="44AE8B00" w14:textId="77777777" w:rsidR="00915E15" w:rsidRPr="006720BA" w:rsidRDefault="00915E15"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143C8B">
              <w:rPr>
                <w:rFonts w:ascii="Times New Roman" w:hAnsi="Times New Roman"/>
                <w:sz w:val="16"/>
                <w:szCs w:val="16"/>
              </w:rPr>
            </w:r>
            <w:r w:rsidR="00143C8B">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Importer</w:t>
            </w:r>
          </w:p>
          <w:p w14:paraId="77175623" w14:textId="77777777" w:rsidR="00915E15" w:rsidRPr="006720BA" w:rsidRDefault="00915E15"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143C8B">
              <w:rPr>
                <w:rFonts w:ascii="Times New Roman" w:hAnsi="Times New Roman"/>
                <w:sz w:val="16"/>
                <w:szCs w:val="16"/>
              </w:rPr>
            </w:r>
            <w:r w:rsidR="00143C8B">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Exporter</w:t>
            </w:r>
          </w:p>
          <w:p w14:paraId="5550866F" w14:textId="77777777" w:rsidR="00915E15" w:rsidRPr="006720BA" w:rsidRDefault="00915E15" w:rsidP="00C131CD">
            <w:pPr>
              <w:pStyle w:val="Body"/>
              <w:rPr>
                <w:rFonts w:ascii="Times New Roman" w:hAnsi="Times New Roman"/>
                <w:sz w:val="16"/>
                <w:szCs w:val="16"/>
              </w:rPr>
            </w:pPr>
            <w:r w:rsidRPr="006720BA">
              <w:rPr>
                <w:rFonts w:ascii="Times New Roman" w:hAnsi="Times New Roman"/>
                <w:sz w:val="16"/>
                <w:szCs w:val="16"/>
              </w:rPr>
              <w:fldChar w:fldCharType="begin" w:fldLock="1">
                <w:ffData>
                  <w:name w:val=""/>
                  <w:enabled/>
                  <w:calcOnExit w:val="0"/>
                  <w:checkBox>
                    <w:size w:val="16"/>
                    <w:default w:val="0"/>
                  </w:checkBox>
                </w:ffData>
              </w:fldChar>
            </w:r>
            <w:r w:rsidRPr="006720BA">
              <w:rPr>
                <w:rFonts w:ascii="Times New Roman" w:hAnsi="Times New Roman"/>
                <w:sz w:val="16"/>
                <w:szCs w:val="16"/>
              </w:rPr>
              <w:instrText xml:space="preserve"> FORMCHECKBOX </w:instrText>
            </w:r>
            <w:r w:rsidR="00143C8B">
              <w:rPr>
                <w:rFonts w:ascii="Times New Roman" w:hAnsi="Times New Roman"/>
                <w:sz w:val="16"/>
                <w:szCs w:val="16"/>
              </w:rPr>
            </w:r>
            <w:r w:rsidR="00143C8B">
              <w:rPr>
                <w:rFonts w:ascii="Times New Roman" w:hAnsi="Times New Roman"/>
                <w:sz w:val="16"/>
                <w:szCs w:val="16"/>
              </w:rPr>
              <w:fldChar w:fldCharType="separate"/>
            </w:r>
            <w:r w:rsidRPr="006720BA">
              <w:rPr>
                <w:rFonts w:ascii="Times New Roman" w:hAnsi="Times New Roman"/>
                <w:sz w:val="16"/>
                <w:szCs w:val="16"/>
              </w:rPr>
              <w:fldChar w:fldCharType="end"/>
            </w:r>
            <w:r w:rsidRPr="006720BA">
              <w:rPr>
                <w:rFonts w:ascii="Times New Roman" w:hAnsi="Times New Roman"/>
                <w:sz w:val="16"/>
                <w:szCs w:val="16"/>
              </w:rPr>
              <w:t xml:space="preserve"> neither Party</w:t>
            </w:r>
          </w:p>
        </w:tc>
      </w:tr>
    </w:tbl>
    <w:p w14:paraId="3D89683E" w14:textId="77777777" w:rsidR="00915E15" w:rsidRPr="006720BA" w:rsidRDefault="00915E15" w:rsidP="00915E15">
      <w:pPr>
        <w:pStyle w:val="Heading2"/>
        <w:rPr>
          <w:rFonts w:ascii="Times New Roman" w:hAnsi="Times New Roman" w:cs="Times New Roman"/>
          <w:color w:val="auto"/>
          <w:sz w:val="16"/>
          <w:szCs w:val="16"/>
        </w:rPr>
      </w:pPr>
      <w:r w:rsidRPr="006720BA">
        <w:rPr>
          <w:rFonts w:ascii="Times New Roman" w:hAnsi="Times New Roman" w:cs="Times New Roman"/>
          <w:color w:val="auto"/>
          <w:sz w:val="16"/>
          <w:szCs w:val="16"/>
        </w:rPr>
        <w:t>Part 2: Mandatory Clauses</w:t>
      </w:r>
    </w:p>
    <w:p w14:paraId="5B70E1B9" w14:textId="77777777" w:rsidR="00915E15" w:rsidRPr="006720BA" w:rsidRDefault="00915E15" w:rsidP="00915E15">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Entering into this Addendum</w:t>
      </w:r>
    </w:p>
    <w:p w14:paraId="14904FD3"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Each Party agrees to be bound by the terms and conditions set out in this Addendum, in exchange for the other Party also agreeing to be bound by this Addendum.</w:t>
      </w:r>
    </w:p>
    <w:p w14:paraId="7F530E6A" w14:textId="77777777" w:rsidR="00915E15" w:rsidRPr="006720BA" w:rsidRDefault="00915E15" w:rsidP="00915E15">
      <w:pPr>
        <w:pStyle w:val="NormalNumbered"/>
        <w:jc w:val="both"/>
        <w:rPr>
          <w:rFonts w:ascii="Times New Roman" w:hAnsi="Times New Roman" w:cs="Times New Roman"/>
          <w:color w:val="auto"/>
          <w:sz w:val="16"/>
          <w:szCs w:val="16"/>
        </w:rPr>
      </w:pPr>
      <w:bookmarkStart w:id="25" w:name="_Ref90904580"/>
      <w:r w:rsidRPr="006720BA">
        <w:rPr>
          <w:rFonts w:ascii="Times New Roman" w:hAnsi="Times New Roman" w:cs="Times New Roman"/>
          <w:color w:val="auto"/>
          <w:sz w:val="16"/>
          <w:szCs w:val="16"/>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5"/>
    </w:p>
    <w:p w14:paraId="305D04A0" w14:textId="77777777" w:rsidR="00915E15" w:rsidRPr="006720BA" w:rsidRDefault="00915E15" w:rsidP="00915E15">
      <w:pPr>
        <w:pStyle w:val="Heading3"/>
        <w:rPr>
          <w:rFonts w:ascii="Times New Roman" w:hAnsi="Times New Roman" w:cs="Times New Roman"/>
          <w:color w:val="auto"/>
          <w:sz w:val="16"/>
          <w:szCs w:val="16"/>
        </w:rPr>
      </w:pPr>
      <w:bookmarkStart w:id="26" w:name="_Hlk92885712"/>
      <w:r w:rsidRPr="006720BA">
        <w:rPr>
          <w:rFonts w:ascii="Times New Roman" w:hAnsi="Times New Roman" w:cs="Times New Roman"/>
          <w:color w:val="auto"/>
          <w:sz w:val="16"/>
          <w:szCs w:val="16"/>
        </w:rPr>
        <w:t xml:space="preserve">Interpretation of this Addendum </w:t>
      </w:r>
    </w:p>
    <w:p w14:paraId="7B873B5F"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644"/>
        <w:gridCol w:w="6712"/>
      </w:tblGrid>
      <w:tr w:rsidR="00915E15" w:rsidRPr="006720BA" w14:paraId="2A90B91A" w14:textId="77777777" w:rsidTr="00C131CD">
        <w:tc>
          <w:tcPr>
            <w:tcW w:w="1413" w:type="pct"/>
            <w:tcBorders>
              <w:top w:val="single" w:sz="4" w:space="0" w:color="FFC000"/>
              <w:right w:val="single" w:sz="4" w:space="0" w:color="FFC000"/>
            </w:tcBorders>
            <w:shd w:val="clear" w:color="auto" w:fill="FFF9DD"/>
          </w:tcPr>
          <w:p w14:paraId="0DFDB622"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Addendum </w:t>
            </w:r>
          </w:p>
        </w:tc>
        <w:tc>
          <w:tcPr>
            <w:tcW w:w="3587" w:type="pct"/>
            <w:tcBorders>
              <w:top w:val="single" w:sz="4" w:space="0" w:color="FFC000"/>
              <w:left w:val="single" w:sz="4" w:space="0" w:color="FFC000"/>
            </w:tcBorders>
          </w:tcPr>
          <w:p w14:paraId="5940EB53"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This International Data Transfer Addendum which is made up of this Addendum incorporating the Addendum EU SCCs.</w:t>
            </w:r>
          </w:p>
        </w:tc>
      </w:tr>
      <w:tr w:rsidR="00915E15" w:rsidRPr="006720BA" w14:paraId="25785428" w14:textId="77777777" w:rsidTr="00C131CD">
        <w:tc>
          <w:tcPr>
            <w:tcW w:w="1413" w:type="pct"/>
            <w:tcBorders>
              <w:right w:val="single" w:sz="4" w:space="0" w:color="FFC000"/>
            </w:tcBorders>
            <w:shd w:val="clear" w:color="auto" w:fill="FFF9DD"/>
          </w:tcPr>
          <w:p w14:paraId="0D19EE25"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Addendum EU SCCs</w:t>
            </w:r>
          </w:p>
        </w:tc>
        <w:tc>
          <w:tcPr>
            <w:tcW w:w="3587" w:type="pct"/>
            <w:tcBorders>
              <w:left w:val="single" w:sz="4" w:space="0" w:color="FFC000"/>
            </w:tcBorders>
          </w:tcPr>
          <w:p w14:paraId="36D1B0CC"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The version(s) of the Approved EU SCCs which this Addendum is appended to, as set out in Table 2, including the Appendix Information.</w:t>
            </w:r>
          </w:p>
        </w:tc>
      </w:tr>
      <w:tr w:rsidR="00915E15" w:rsidRPr="006720BA" w14:paraId="6FA54A42" w14:textId="77777777" w:rsidTr="00C131CD">
        <w:tc>
          <w:tcPr>
            <w:tcW w:w="1413" w:type="pct"/>
            <w:tcBorders>
              <w:right w:val="single" w:sz="4" w:space="0" w:color="FFC000"/>
            </w:tcBorders>
            <w:shd w:val="clear" w:color="auto" w:fill="FFF9DD"/>
          </w:tcPr>
          <w:p w14:paraId="14415867"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lastRenderedPageBreak/>
              <w:t>Appendix Information</w:t>
            </w:r>
          </w:p>
        </w:tc>
        <w:tc>
          <w:tcPr>
            <w:tcW w:w="3587" w:type="pct"/>
            <w:tcBorders>
              <w:left w:val="single" w:sz="4" w:space="0" w:color="FFC000"/>
            </w:tcBorders>
          </w:tcPr>
          <w:p w14:paraId="29E9210A" w14:textId="77777777" w:rsidR="00915E15" w:rsidRPr="006720BA" w:rsidRDefault="00915E15" w:rsidP="00C131CD">
            <w:pPr>
              <w:pStyle w:val="Body"/>
              <w:jc w:val="both"/>
              <w:rPr>
                <w:rFonts w:ascii="Times New Roman" w:hAnsi="Times New Roman" w:cs="Times New Roman"/>
                <w:sz w:val="16"/>
                <w:szCs w:val="16"/>
                <w:highlight w:val="green"/>
              </w:rPr>
            </w:pPr>
            <w:r w:rsidRPr="006720BA">
              <w:rPr>
                <w:rFonts w:ascii="Times New Roman" w:hAnsi="Times New Roman" w:cs="Times New Roman"/>
                <w:sz w:val="16"/>
                <w:szCs w:val="16"/>
              </w:rPr>
              <w:t>As set out in Table ‎3.</w:t>
            </w:r>
          </w:p>
        </w:tc>
      </w:tr>
      <w:tr w:rsidR="00915E15" w:rsidRPr="006720BA" w14:paraId="081D42C9" w14:textId="77777777" w:rsidTr="00C131CD">
        <w:tc>
          <w:tcPr>
            <w:tcW w:w="1413" w:type="pct"/>
            <w:tcBorders>
              <w:right w:val="single" w:sz="4" w:space="0" w:color="FFC000"/>
            </w:tcBorders>
            <w:shd w:val="clear" w:color="auto" w:fill="FFF9DD"/>
          </w:tcPr>
          <w:p w14:paraId="331EA6B6"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Appropriate Safeguards</w:t>
            </w:r>
          </w:p>
        </w:tc>
        <w:tc>
          <w:tcPr>
            <w:tcW w:w="3587" w:type="pct"/>
            <w:tcBorders>
              <w:left w:val="single" w:sz="4" w:space="0" w:color="FFC000"/>
            </w:tcBorders>
          </w:tcPr>
          <w:p w14:paraId="39EE5AC6"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of protection over the personal data and of data subjects’ rights, which is required by UK Data Protection Laws when you are making a Restricted Transfer relying on standard data protection clauses under Article 46(2)(d) UK GDPR.</w:t>
            </w:r>
          </w:p>
        </w:tc>
      </w:tr>
      <w:tr w:rsidR="00915E15" w:rsidRPr="006720BA" w14:paraId="6A824841" w14:textId="77777777" w:rsidTr="00C131CD">
        <w:tc>
          <w:tcPr>
            <w:tcW w:w="1413" w:type="pct"/>
            <w:tcBorders>
              <w:right w:val="single" w:sz="4" w:space="0" w:color="FFC000"/>
            </w:tcBorders>
            <w:shd w:val="clear" w:color="auto" w:fill="FFF9DD"/>
          </w:tcPr>
          <w:p w14:paraId="6597DF3A"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Approved Addendum</w:t>
            </w:r>
          </w:p>
        </w:tc>
        <w:tc>
          <w:tcPr>
            <w:tcW w:w="3587" w:type="pct"/>
            <w:tcBorders>
              <w:left w:val="single" w:sz="4" w:space="0" w:color="FFC000"/>
            </w:tcBorders>
            <w:vAlign w:val="center"/>
          </w:tcPr>
          <w:p w14:paraId="0E5B957B"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The template Addendum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w:t>
            </w:r>
          </w:p>
        </w:tc>
      </w:tr>
      <w:tr w:rsidR="00915E15" w:rsidRPr="006720BA" w14:paraId="5640E130" w14:textId="77777777" w:rsidTr="00C131CD">
        <w:tc>
          <w:tcPr>
            <w:tcW w:w="1413" w:type="pct"/>
            <w:tcBorders>
              <w:right w:val="single" w:sz="4" w:space="0" w:color="FFC000"/>
            </w:tcBorders>
            <w:shd w:val="clear" w:color="auto" w:fill="FFF9DD"/>
          </w:tcPr>
          <w:p w14:paraId="231AC4C6"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Approved EU SCCs </w:t>
            </w:r>
          </w:p>
        </w:tc>
        <w:tc>
          <w:tcPr>
            <w:tcW w:w="3587" w:type="pct"/>
            <w:tcBorders>
              <w:left w:val="single" w:sz="4" w:space="0" w:color="FFC000"/>
            </w:tcBorders>
          </w:tcPr>
          <w:p w14:paraId="54FBADA1"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Contractual Clauses set out in the Annex of Commission Implementing Decision (EU) 2021/914 of 4 June 2021.</w:t>
            </w:r>
          </w:p>
        </w:tc>
      </w:tr>
      <w:tr w:rsidR="00915E15" w:rsidRPr="006720BA" w14:paraId="2AECF1C1" w14:textId="77777777" w:rsidTr="00C131CD">
        <w:tc>
          <w:tcPr>
            <w:tcW w:w="1413" w:type="pct"/>
            <w:tcBorders>
              <w:right w:val="single" w:sz="4" w:space="0" w:color="FFC000"/>
            </w:tcBorders>
            <w:shd w:val="clear" w:color="auto" w:fill="FFF9DD"/>
          </w:tcPr>
          <w:p w14:paraId="120BD744"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ICO</w:t>
            </w:r>
          </w:p>
        </w:tc>
        <w:tc>
          <w:tcPr>
            <w:tcW w:w="3587" w:type="pct"/>
            <w:tcBorders>
              <w:left w:val="single" w:sz="4" w:space="0" w:color="FFC000"/>
            </w:tcBorders>
          </w:tcPr>
          <w:p w14:paraId="6B4E0399"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The Information Commissioner.</w:t>
            </w:r>
          </w:p>
        </w:tc>
      </w:tr>
      <w:tr w:rsidR="00915E15" w:rsidRPr="006720BA" w14:paraId="5EC531EA" w14:textId="77777777" w:rsidTr="00C131CD">
        <w:tc>
          <w:tcPr>
            <w:tcW w:w="1413" w:type="pct"/>
            <w:tcBorders>
              <w:right w:val="single" w:sz="4" w:space="0" w:color="FFC000"/>
            </w:tcBorders>
            <w:shd w:val="clear" w:color="auto" w:fill="FFF9DD"/>
          </w:tcPr>
          <w:p w14:paraId="5F03459D"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Restricted Transfer</w:t>
            </w:r>
          </w:p>
        </w:tc>
        <w:tc>
          <w:tcPr>
            <w:tcW w:w="3587" w:type="pct"/>
            <w:tcBorders>
              <w:left w:val="single" w:sz="4" w:space="0" w:color="FFC000"/>
            </w:tcBorders>
          </w:tcPr>
          <w:p w14:paraId="1B928356"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A transfer which is covered by Chapter V of the UK GDPR.</w:t>
            </w:r>
          </w:p>
        </w:tc>
      </w:tr>
      <w:tr w:rsidR="00915E15" w:rsidRPr="006720BA" w14:paraId="43186B8D" w14:textId="77777777" w:rsidTr="00C131CD">
        <w:tc>
          <w:tcPr>
            <w:tcW w:w="1413" w:type="pct"/>
            <w:tcBorders>
              <w:right w:val="single" w:sz="4" w:space="0" w:color="FFC000"/>
            </w:tcBorders>
            <w:shd w:val="clear" w:color="auto" w:fill="FFF9DD"/>
          </w:tcPr>
          <w:p w14:paraId="4E18B646"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w:t>
            </w:r>
          </w:p>
        </w:tc>
        <w:tc>
          <w:tcPr>
            <w:tcW w:w="3587" w:type="pct"/>
            <w:tcBorders>
              <w:left w:val="single" w:sz="4" w:space="0" w:color="FFC000"/>
            </w:tcBorders>
          </w:tcPr>
          <w:p w14:paraId="25157439"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The United Kingdom of Great Britain and Northern Ireland.</w:t>
            </w:r>
          </w:p>
        </w:tc>
      </w:tr>
      <w:tr w:rsidR="00915E15" w:rsidRPr="006720BA" w14:paraId="6F5C07DD" w14:textId="77777777" w:rsidTr="00C131CD">
        <w:tc>
          <w:tcPr>
            <w:tcW w:w="1413" w:type="pct"/>
            <w:tcBorders>
              <w:right w:val="single" w:sz="4" w:space="0" w:color="FFC000"/>
            </w:tcBorders>
            <w:shd w:val="clear" w:color="auto" w:fill="FFF9DD"/>
          </w:tcPr>
          <w:p w14:paraId="1AE2C695"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Data Protection Laws </w:t>
            </w:r>
          </w:p>
        </w:tc>
        <w:tc>
          <w:tcPr>
            <w:tcW w:w="3587" w:type="pct"/>
            <w:tcBorders>
              <w:left w:val="single" w:sz="4" w:space="0" w:color="FFC000"/>
            </w:tcBorders>
          </w:tcPr>
          <w:p w14:paraId="08E90B1D"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All laws relating to data protection, the processing of personal data, privacy and/or electronic communications in force from time to time in the UK, including the UK GDPR and the Data Protection Act 2018.</w:t>
            </w:r>
          </w:p>
        </w:tc>
      </w:tr>
      <w:tr w:rsidR="00915E15" w:rsidRPr="006720BA" w14:paraId="1887A225" w14:textId="77777777" w:rsidTr="00C131CD">
        <w:tc>
          <w:tcPr>
            <w:tcW w:w="1413" w:type="pct"/>
            <w:tcBorders>
              <w:bottom w:val="single" w:sz="18" w:space="0" w:color="FFC000"/>
              <w:right w:val="single" w:sz="4" w:space="0" w:color="FFC000"/>
            </w:tcBorders>
            <w:shd w:val="clear" w:color="auto" w:fill="FFF9DD"/>
          </w:tcPr>
          <w:p w14:paraId="38A68932" w14:textId="77777777" w:rsidR="00915E15" w:rsidRPr="006720BA" w:rsidRDefault="00915E15"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GDPR </w:t>
            </w:r>
          </w:p>
        </w:tc>
        <w:tc>
          <w:tcPr>
            <w:tcW w:w="3587" w:type="pct"/>
            <w:tcBorders>
              <w:left w:val="single" w:sz="4" w:space="0" w:color="FFC000"/>
              <w:bottom w:val="single" w:sz="18" w:space="0" w:color="FFC000"/>
            </w:tcBorders>
          </w:tcPr>
          <w:p w14:paraId="67EA09D2"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As defined in section 3 of the Data Protection Act 2018.</w:t>
            </w:r>
          </w:p>
        </w:tc>
      </w:tr>
      <w:bookmarkEnd w:id="20"/>
    </w:tbl>
    <w:p w14:paraId="26642BA7" w14:textId="77777777" w:rsidR="00915E15" w:rsidRPr="006720BA" w:rsidRDefault="00915E15" w:rsidP="00915E15">
      <w:pPr>
        <w:spacing w:after="0"/>
        <w:ind w:left="360"/>
        <w:rPr>
          <w:rFonts w:ascii="Times New Roman" w:hAnsi="Times New Roman" w:cs="Times New Roman"/>
          <w:sz w:val="16"/>
          <w:szCs w:val="16"/>
        </w:rPr>
      </w:pPr>
    </w:p>
    <w:p w14:paraId="6BEB60B6"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This Addendum must always be interpreted in a manner that is consistent with UK Data Protection Laws and so that it fulfils the Parties’ obligation to provide the Appropriate Safeguards. </w:t>
      </w:r>
    </w:p>
    <w:p w14:paraId="3FEA050D"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0FD0A2F6"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there is any inconsistency or conflict between UK Data Protection Laws and this Addendum, UK Data Protection Laws applies.</w:t>
      </w:r>
    </w:p>
    <w:p w14:paraId="520865AC"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If the meaning of this Addendum is unclear or there is more than one meaning, the meaning which most closely aligns with UK Data Protection Laws applies. </w:t>
      </w:r>
    </w:p>
    <w:p w14:paraId="27315B11"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2B7F5E03" w14:textId="77777777" w:rsidR="00915E15" w:rsidRPr="006720BA" w:rsidRDefault="00915E15" w:rsidP="00915E15">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Hierarchy </w:t>
      </w:r>
    </w:p>
    <w:p w14:paraId="504673D4" w14:textId="77777777" w:rsidR="00915E15" w:rsidRPr="006720BA" w:rsidRDefault="00915E15" w:rsidP="00915E15">
      <w:pPr>
        <w:pStyle w:val="NormalNumbered"/>
        <w:jc w:val="both"/>
        <w:rPr>
          <w:rFonts w:ascii="Times New Roman" w:hAnsi="Times New Roman" w:cs="Times New Roman"/>
          <w:color w:val="auto"/>
          <w:sz w:val="16"/>
          <w:szCs w:val="16"/>
        </w:rPr>
      </w:pPr>
      <w:bookmarkStart w:id="27" w:name="_Ref90905648"/>
      <w:r w:rsidRPr="006720BA">
        <w:rPr>
          <w:rFonts w:ascii="Times New Roman" w:hAnsi="Times New Roman" w:cs="Times New Roman"/>
          <w:color w:val="auto"/>
          <w:sz w:val="16"/>
          <w:szCs w:val="16"/>
        </w:rPr>
        <w:t xml:space="preserve">Although Clause 5 of the Approved EU SCCs sets out that the Approved EU SCCs prevail over all related agreements between the parties, the parties agree that, for Restricted Transfers, the hierarchy in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_Ref90905652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10</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prevail.</w:t>
      </w:r>
      <w:bookmarkEnd w:id="27"/>
    </w:p>
    <w:p w14:paraId="39D66495" w14:textId="77777777" w:rsidR="00915E15" w:rsidRPr="006720BA" w:rsidRDefault="00915E15" w:rsidP="00915E15">
      <w:pPr>
        <w:pStyle w:val="NormalNumbered"/>
        <w:jc w:val="both"/>
        <w:rPr>
          <w:rFonts w:ascii="Times New Roman" w:hAnsi="Times New Roman" w:cs="Times New Roman"/>
          <w:color w:val="auto"/>
          <w:sz w:val="16"/>
          <w:szCs w:val="16"/>
        </w:rPr>
      </w:pPr>
      <w:bookmarkStart w:id="28" w:name="_Ref90905652"/>
      <w:r w:rsidRPr="006720BA">
        <w:rPr>
          <w:rFonts w:ascii="Times New Roman" w:hAnsi="Times New Roman" w:cs="Times New Roman"/>
          <w:color w:val="auto"/>
          <w:sz w:val="16"/>
          <w:szCs w:val="16"/>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70DD766D" w14:textId="77777777" w:rsidR="00915E15" w:rsidRPr="006720BA" w:rsidRDefault="00915E15" w:rsidP="00915E15">
      <w:pPr>
        <w:pStyle w:val="NormalNumbered"/>
        <w:jc w:val="both"/>
        <w:rPr>
          <w:rFonts w:ascii="Times New Roman" w:hAnsi="Times New Roman" w:cs="Times New Roman"/>
          <w:color w:val="auto"/>
          <w:sz w:val="16"/>
          <w:szCs w:val="16"/>
        </w:rPr>
      </w:pPr>
      <w:bookmarkStart w:id="29" w:name="_Ref90906696"/>
      <w:r w:rsidRPr="006720BA">
        <w:rPr>
          <w:rFonts w:ascii="Times New Roman" w:hAnsi="Times New Roman" w:cs="Times New Roman"/>
          <w:color w:val="auto"/>
          <w:sz w:val="16"/>
          <w:szCs w:val="16"/>
        </w:rPr>
        <w:lastRenderedPageBreak/>
        <w:t>Where this Addendum incorporates Addendum EU SCCs which have been entered into to protect transfers subject to the General Data Protection Regulation (EU) 2016/679 then the Parties acknowledge that nothing in this Addendum impacts those Addendum EU SCCs.</w:t>
      </w:r>
      <w:bookmarkEnd w:id="28"/>
      <w:bookmarkEnd w:id="29"/>
    </w:p>
    <w:p w14:paraId="7B152CAE" w14:textId="77777777" w:rsidR="00915E15" w:rsidRPr="006720BA" w:rsidRDefault="00915E15" w:rsidP="00915E15">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Incorporation of and changes to the EU SCCs</w:t>
      </w:r>
    </w:p>
    <w:p w14:paraId="765FFD6D" w14:textId="77777777" w:rsidR="00915E15" w:rsidRPr="006720BA" w:rsidRDefault="00915E15" w:rsidP="00915E15">
      <w:pPr>
        <w:pStyle w:val="NormalNumbered"/>
        <w:jc w:val="both"/>
        <w:rPr>
          <w:rFonts w:ascii="Times New Roman" w:hAnsi="Times New Roman" w:cs="Times New Roman"/>
          <w:color w:val="auto"/>
          <w:sz w:val="16"/>
          <w:szCs w:val="16"/>
        </w:rPr>
      </w:pPr>
      <w:bookmarkStart w:id="30" w:name="_Ref90906729"/>
      <w:bookmarkStart w:id="31" w:name="_Hlk92876330"/>
      <w:r w:rsidRPr="006720BA">
        <w:rPr>
          <w:rFonts w:ascii="Times New Roman" w:hAnsi="Times New Roman" w:cs="Times New Roman"/>
          <w:color w:val="auto"/>
          <w:sz w:val="16"/>
          <w:szCs w:val="16"/>
        </w:rPr>
        <w:t>This Addendum incorporates the Addendum EU SCCs which are amended to the extent necessary so that:</w:t>
      </w:r>
      <w:bookmarkEnd w:id="30"/>
    </w:p>
    <w:p w14:paraId="5B8A464B" w14:textId="77777777" w:rsidR="00915E15" w:rsidRPr="006720BA" w:rsidRDefault="00915E15" w:rsidP="00915E15">
      <w:pPr>
        <w:numPr>
          <w:ilvl w:val="1"/>
          <w:numId w:val="20"/>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62B78349" w14:textId="77777777" w:rsidR="00915E15" w:rsidRPr="006720BA" w:rsidRDefault="00915E15" w:rsidP="00915E15">
      <w:pPr>
        <w:numPr>
          <w:ilvl w:val="1"/>
          <w:numId w:val="20"/>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Sections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_Ref90905648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9</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to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_Ref90906696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11</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override Clause 5 (Hierarchy) of the Addendum EU SCCs; and</w:t>
      </w:r>
    </w:p>
    <w:p w14:paraId="353471C5" w14:textId="77777777" w:rsidR="00915E15" w:rsidRPr="006720BA" w:rsidRDefault="00915E15" w:rsidP="00915E15">
      <w:pPr>
        <w:numPr>
          <w:ilvl w:val="1"/>
          <w:numId w:val="20"/>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37FD5BC6" w14:textId="77777777" w:rsidR="00915E15" w:rsidRPr="006720BA" w:rsidRDefault="00915E15" w:rsidP="00915E15">
      <w:pPr>
        <w:pStyle w:val="NormalNumbered"/>
        <w:jc w:val="both"/>
        <w:rPr>
          <w:rFonts w:ascii="Times New Roman" w:hAnsi="Times New Roman" w:cs="Times New Roman"/>
          <w:color w:val="auto"/>
          <w:sz w:val="16"/>
          <w:szCs w:val="16"/>
        </w:rPr>
      </w:pPr>
      <w:bookmarkStart w:id="32" w:name="_Ref90907070"/>
      <w:bookmarkEnd w:id="31"/>
      <w:r w:rsidRPr="006720BA">
        <w:rPr>
          <w:rFonts w:ascii="Times New Roman" w:hAnsi="Times New Roman" w:cs="Times New Roman"/>
          <w:color w:val="auto"/>
          <w:sz w:val="16"/>
          <w:szCs w:val="16"/>
        </w:rPr>
        <w:t xml:space="preserve">Unless the Parties have agreed alternative amendments which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the provisions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_Ref90907321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15</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apply.</w:t>
      </w:r>
    </w:p>
    <w:p w14:paraId="0DB6802B"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No amendments to the Approved EU SCCs other than to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may be made.</w:t>
      </w:r>
    </w:p>
    <w:p w14:paraId="2D5F9ECE" w14:textId="77777777" w:rsidR="00915E15" w:rsidRPr="006720BA" w:rsidRDefault="00915E15" w:rsidP="00915E15">
      <w:pPr>
        <w:pStyle w:val="NormalNumbered"/>
        <w:jc w:val="both"/>
        <w:rPr>
          <w:rFonts w:ascii="Times New Roman" w:hAnsi="Times New Roman" w:cs="Times New Roman"/>
          <w:color w:val="auto"/>
          <w:sz w:val="16"/>
          <w:szCs w:val="16"/>
        </w:rPr>
      </w:pPr>
      <w:bookmarkStart w:id="33" w:name="_Ref90907321"/>
      <w:r w:rsidRPr="006720BA">
        <w:rPr>
          <w:rFonts w:ascii="Times New Roman" w:hAnsi="Times New Roman" w:cs="Times New Roman"/>
          <w:color w:val="auto"/>
          <w:sz w:val="16"/>
          <w:szCs w:val="16"/>
        </w:rPr>
        <w:t xml:space="preserve">The following amendments to the Addendum EU SCCs (for the purpose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are made:</w:t>
      </w:r>
      <w:bookmarkEnd w:id="32"/>
      <w:bookmarkEnd w:id="33"/>
      <w:r w:rsidRPr="006720BA">
        <w:rPr>
          <w:rFonts w:ascii="Times New Roman" w:hAnsi="Times New Roman" w:cs="Times New Roman"/>
          <w:color w:val="auto"/>
          <w:sz w:val="16"/>
          <w:szCs w:val="16"/>
        </w:rPr>
        <w:t xml:space="preserve"> </w:t>
      </w:r>
    </w:p>
    <w:p w14:paraId="485C0C9E"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the “Clauses” means this Addendum, incorporating the Addendum EU SCCs;</w:t>
      </w:r>
    </w:p>
    <w:p w14:paraId="0E5CE3B1"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2, delete the words:</w:t>
      </w:r>
    </w:p>
    <w:p w14:paraId="1C97AC0F" w14:textId="77777777" w:rsidR="00915E15" w:rsidRPr="006720BA" w:rsidRDefault="00915E15" w:rsidP="00915E15">
      <w:pPr>
        <w:ind w:left="1440"/>
        <w:jc w:val="both"/>
        <w:rPr>
          <w:rFonts w:ascii="Times New Roman" w:hAnsi="Times New Roman" w:cs="Times New Roman"/>
          <w:sz w:val="16"/>
          <w:szCs w:val="16"/>
        </w:rPr>
      </w:pPr>
      <w:r w:rsidRPr="006720BA">
        <w:rPr>
          <w:rFonts w:ascii="Times New Roman" w:hAnsi="Times New Roman" w:cs="Times New Roman"/>
          <w:sz w:val="16"/>
          <w:szCs w:val="16"/>
        </w:rPr>
        <w:t>“and, with respect to data transfers from controllers to processors and/or processors to processors, standard contractual clauses pursuant to Article 28(7) of Regulation (EU) 2016/679”;</w:t>
      </w:r>
    </w:p>
    <w:p w14:paraId="01B07C1E"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6 (Description of the transfer(s)) is replaced with:</w:t>
      </w:r>
    </w:p>
    <w:p w14:paraId="6A963502" w14:textId="77777777" w:rsidR="00915E15" w:rsidRPr="006720BA" w:rsidRDefault="00915E15" w:rsidP="00915E15">
      <w:pPr>
        <w:ind w:left="1440"/>
        <w:jc w:val="both"/>
        <w:rPr>
          <w:rFonts w:ascii="Times New Roman" w:hAnsi="Times New Roman" w:cs="Times New Roman"/>
          <w:sz w:val="16"/>
          <w:szCs w:val="16"/>
        </w:rPr>
      </w:pPr>
      <w:r w:rsidRPr="006720BA">
        <w:rPr>
          <w:rFonts w:ascii="Times New Roman" w:hAnsi="Times New Roman" w:cs="Times New Roman"/>
          <w:sz w:val="16"/>
          <w:szCs w:val="16"/>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1F7C6AB8"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8.7(</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 of Module 1 is replaced with:</w:t>
      </w:r>
    </w:p>
    <w:p w14:paraId="0316C8EC" w14:textId="77777777" w:rsidR="00915E15" w:rsidRPr="006720BA" w:rsidRDefault="00915E15" w:rsidP="00915E15">
      <w:pPr>
        <w:ind w:left="1440"/>
        <w:jc w:val="both"/>
        <w:rPr>
          <w:rFonts w:ascii="Times New Roman" w:hAnsi="Times New Roman" w:cs="Times New Roman"/>
          <w:sz w:val="16"/>
          <w:szCs w:val="16"/>
        </w:rPr>
      </w:pPr>
      <w:r w:rsidRPr="006720BA">
        <w:rPr>
          <w:rFonts w:ascii="Times New Roman" w:hAnsi="Times New Roman" w:cs="Times New Roman"/>
          <w:sz w:val="16"/>
          <w:szCs w:val="16"/>
        </w:rPr>
        <w:t>“it is to a country benefitting from adequacy regulations pursuant to Section 17A of the UK GDPR that covers the onward transfer”;</w:t>
      </w:r>
    </w:p>
    <w:p w14:paraId="1C26C26E"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8.8(</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 of Modules 2 and 3 is replaced with:</w:t>
      </w:r>
    </w:p>
    <w:p w14:paraId="15FDAE63" w14:textId="77777777" w:rsidR="00915E15" w:rsidRPr="006720BA" w:rsidRDefault="00915E15" w:rsidP="00915E15">
      <w:pPr>
        <w:ind w:left="1440"/>
        <w:jc w:val="both"/>
        <w:rPr>
          <w:rFonts w:ascii="Times New Roman" w:hAnsi="Times New Roman" w:cs="Times New Roman"/>
          <w:sz w:val="16"/>
          <w:szCs w:val="16"/>
        </w:rPr>
      </w:pPr>
      <w:r w:rsidRPr="006720BA">
        <w:rPr>
          <w:rFonts w:ascii="Times New Roman" w:hAnsi="Times New Roman" w:cs="Times New Roman"/>
          <w:sz w:val="16"/>
          <w:szCs w:val="16"/>
        </w:rPr>
        <w:t>“the onward transfer is to a country benefitting from adequacy regulations pursuant to Section 17A of the UK GDPR that covers the onward transfer;”</w:t>
      </w:r>
    </w:p>
    <w:p w14:paraId="4017CDD4"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6C400AE4"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Regulation (EU) 2018/1725 are removed;</w:t>
      </w:r>
    </w:p>
    <w:p w14:paraId="6FEEB49A"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the “European Union”, “Union”, “EU”, “EU Member State”, “Member State” and “EU or Member State” are all replaced with the “UK”;</w:t>
      </w:r>
    </w:p>
    <w:p w14:paraId="339367D0"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reference to “Clause 12(c)(</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 at Clause 10(b)(</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 of Module one, is replaced with “Clause 11(c)(</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w:t>
      </w:r>
    </w:p>
    <w:p w14:paraId="390277BF"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Clause 13(a) and Part C of Annex I are not used; </w:t>
      </w:r>
    </w:p>
    <w:p w14:paraId="2EB8A46B"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“competent supervisory authority” and “supervisory authority” are both replaced with the “Information Commissioner”;</w:t>
      </w:r>
    </w:p>
    <w:p w14:paraId="7C886207"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16(e), subsection (</w:t>
      </w:r>
      <w:proofErr w:type="spellStart"/>
      <w:r w:rsidRPr="006720BA">
        <w:rPr>
          <w:rFonts w:ascii="Times New Roman" w:hAnsi="Times New Roman" w:cs="Times New Roman"/>
          <w:sz w:val="16"/>
          <w:szCs w:val="16"/>
        </w:rPr>
        <w:t>i</w:t>
      </w:r>
      <w:proofErr w:type="spellEnd"/>
      <w:r w:rsidRPr="006720BA">
        <w:rPr>
          <w:rFonts w:ascii="Times New Roman" w:hAnsi="Times New Roman" w:cs="Times New Roman"/>
          <w:sz w:val="16"/>
          <w:szCs w:val="16"/>
        </w:rPr>
        <w:t>) is replaced with:</w:t>
      </w:r>
    </w:p>
    <w:p w14:paraId="1725997C" w14:textId="77777777" w:rsidR="00915E15" w:rsidRPr="006720BA" w:rsidRDefault="00915E15" w:rsidP="00915E15">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lastRenderedPageBreak/>
        <w:t>“the Secretary of State makes regulations pursuant to Section 17A of the Data Protection Act 2018 that cover the transfer of personal data to which these clauses apply;”;</w:t>
      </w:r>
    </w:p>
    <w:p w14:paraId="187DF61A" w14:textId="77777777" w:rsidR="00915E15" w:rsidRPr="006720BA" w:rsidRDefault="00915E15" w:rsidP="00915E15">
      <w:pPr>
        <w:numPr>
          <w:ilvl w:val="0"/>
          <w:numId w:val="22"/>
        </w:numPr>
        <w:spacing w:after="200" w:line="274"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17 is replaced with:</w:t>
      </w:r>
    </w:p>
    <w:p w14:paraId="335704EF" w14:textId="77777777" w:rsidR="00915E15" w:rsidRPr="006720BA" w:rsidRDefault="00915E15" w:rsidP="00915E15">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t>“These Clauses are governed by the laws of England and Wales.”;</w:t>
      </w:r>
    </w:p>
    <w:p w14:paraId="2C651539"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18 is replaced with:</w:t>
      </w:r>
    </w:p>
    <w:p w14:paraId="3CEC01BA" w14:textId="77777777" w:rsidR="00915E15" w:rsidRPr="006720BA" w:rsidRDefault="00915E15" w:rsidP="00915E15">
      <w:pPr>
        <w:ind w:left="1440"/>
        <w:jc w:val="both"/>
        <w:rPr>
          <w:rFonts w:ascii="Times New Roman" w:hAnsi="Times New Roman" w:cs="Times New Roman"/>
          <w:sz w:val="16"/>
          <w:szCs w:val="16"/>
        </w:rPr>
      </w:pPr>
      <w:bookmarkStart w:id="34" w:name="_Hlk92820147"/>
      <w:r w:rsidRPr="006720BA">
        <w:rPr>
          <w:rFonts w:ascii="Times New Roman" w:hAnsi="Times New Roman" w:cs="Times New Roman"/>
          <w:sz w:val="16"/>
          <w:szCs w:val="16"/>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34"/>
    <w:p w14:paraId="450B0420" w14:textId="77777777" w:rsidR="00915E15" w:rsidRPr="006720BA" w:rsidRDefault="00915E15" w:rsidP="00915E15">
      <w:pPr>
        <w:numPr>
          <w:ilvl w:val="0"/>
          <w:numId w:val="22"/>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The footnotes to the Approved EU SCCs do not form part of the Addendum, except for footnotes 8, 9, 10 and 11. </w:t>
      </w:r>
    </w:p>
    <w:p w14:paraId="52AA2B5F" w14:textId="77777777" w:rsidR="00915E15" w:rsidRPr="006720BA" w:rsidRDefault="00915E15" w:rsidP="00915E15">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Amendments to this Addendum </w:t>
      </w:r>
    </w:p>
    <w:p w14:paraId="654EBCFE" w14:textId="77777777" w:rsidR="00915E15" w:rsidRPr="006720BA" w:rsidRDefault="00915E15" w:rsidP="00915E15">
      <w:pPr>
        <w:pStyle w:val="NormalNumbered"/>
        <w:jc w:val="both"/>
        <w:rPr>
          <w:rFonts w:ascii="Times New Roman" w:hAnsi="Times New Roman" w:cs="Times New Roman"/>
          <w:color w:val="auto"/>
          <w:sz w:val="16"/>
          <w:szCs w:val="16"/>
        </w:rPr>
      </w:pPr>
      <w:bookmarkStart w:id="35" w:name="_Ref90906380"/>
      <w:r w:rsidRPr="006720BA">
        <w:rPr>
          <w:rFonts w:ascii="Times New Roman" w:hAnsi="Times New Roman" w:cs="Times New Roman"/>
          <w:color w:val="auto"/>
          <w:sz w:val="16"/>
          <w:szCs w:val="16"/>
        </w:rPr>
        <w:t>The Parties may agree to change Clauses 17 and/or 18 of the Addendum EU SCCs to refer to the laws and/or courts of Scotland or Northern Ireland.</w:t>
      </w:r>
      <w:bookmarkEnd w:id="35"/>
    </w:p>
    <w:p w14:paraId="18B5422E" w14:textId="77777777" w:rsidR="00915E15" w:rsidRPr="006720BA" w:rsidRDefault="00915E15" w:rsidP="00915E15">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Parties wish to change the format of the information included in Part 1: Tables of the Approved Addendum, they may do so by agreeing to the change in writing, provided that the change does not reduce the Appropriate Safeguards.</w:t>
      </w:r>
    </w:p>
    <w:p w14:paraId="7CB89362" w14:textId="77777777" w:rsidR="00915E15" w:rsidRPr="006720BA" w:rsidRDefault="00915E15" w:rsidP="00915E15">
      <w:pPr>
        <w:pStyle w:val="NormalNumbered"/>
        <w:jc w:val="both"/>
        <w:rPr>
          <w:rFonts w:ascii="Times New Roman" w:hAnsi="Times New Roman" w:cs="Times New Roman"/>
          <w:color w:val="auto"/>
          <w:sz w:val="16"/>
          <w:szCs w:val="16"/>
        </w:rPr>
      </w:pPr>
      <w:bookmarkStart w:id="36" w:name="_Ref90907400"/>
      <w:r w:rsidRPr="006720BA">
        <w:rPr>
          <w:rFonts w:ascii="Times New Roman" w:hAnsi="Times New Roman" w:cs="Times New Roman"/>
          <w:color w:val="auto"/>
          <w:sz w:val="16"/>
          <w:szCs w:val="16"/>
        </w:rPr>
        <w:t>From time to time, the ICO may issue a revised Approved Addendum which:</w:t>
      </w:r>
      <w:bookmarkEnd w:id="36"/>
      <w:r w:rsidRPr="006720BA">
        <w:rPr>
          <w:rFonts w:ascii="Times New Roman" w:hAnsi="Times New Roman" w:cs="Times New Roman"/>
          <w:color w:val="auto"/>
          <w:sz w:val="16"/>
          <w:szCs w:val="16"/>
        </w:rPr>
        <w:t xml:space="preserve"> </w:t>
      </w:r>
    </w:p>
    <w:p w14:paraId="4FFB0B0A" w14:textId="77777777" w:rsidR="00915E15" w:rsidRPr="006720BA" w:rsidRDefault="00915E15" w:rsidP="00915E15">
      <w:pPr>
        <w:pStyle w:val="ListParagraph"/>
        <w:numPr>
          <w:ilvl w:val="0"/>
          <w:numId w:val="23"/>
        </w:numPr>
        <w:spacing w:after="366" w:line="276" w:lineRule="auto"/>
        <w:ind w:left="1077" w:hanging="357"/>
        <w:rPr>
          <w:sz w:val="16"/>
          <w:szCs w:val="16"/>
        </w:rPr>
      </w:pPr>
      <w:r w:rsidRPr="006720BA">
        <w:rPr>
          <w:sz w:val="16"/>
          <w:szCs w:val="16"/>
        </w:rPr>
        <w:t>makes reasonable and proportionate changes to the Approved Addendum, including correcting errors in the Approved Addendum; and/or</w:t>
      </w:r>
    </w:p>
    <w:p w14:paraId="6CE362F6" w14:textId="77777777" w:rsidR="00915E15" w:rsidRPr="006720BA" w:rsidRDefault="00915E15" w:rsidP="00915E15">
      <w:pPr>
        <w:pStyle w:val="ListParagraph"/>
        <w:numPr>
          <w:ilvl w:val="0"/>
          <w:numId w:val="23"/>
        </w:numPr>
        <w:spacing w:after="200" w:line="276" w:lineRule="auto"/>
        <w:ind w:left="1077" w:hanging="357"/>
        <w:rPr>
          <w:sz w:val="16"/>
          <w:szCs w:val="16"/>
        </w:rPr>
      </w:pPr>
      <w:r w:rsidRPr="006720BA">
        <w:rPr>
          <w:sz w:val="16"/>
          <w:szCs w:val="16"/>
        </w:rPr>
        <w:t>reflects changes to UK Data Protection Laws;</w:t>
      </w:r>
    </w:p>
    <w:p w14:paraId="6A585985" w14:textId="77777777" w:rsidR="00915E15" w:rsidRPr="006720BA" w:rsidRDefault="00915E15" w:rsidP="00915E15">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5A6F41B8" w14:textId="77777777" w:rsidR="00915E15" w:rsidRPr="006720BA" w:rsidRDefault="00915E15" w:rsidP="00915E15">
      <w:pPr>
        <w:pStyle w:val="NormalNumbered"/>
        <w:jc w:val="both"/>
        <w:rPr>
          <w:rFonts w:ascii="Times New Roman" w:hAnsi="Times New Roman" w:cs="Times New Roman"/>
          <w:color w:val="auto"/>
          <w:sz w:val="16"/>
          <w:szCs w:val="16"/>
        </w:rPr>
      </w:pPr>
      <w:bookmarkStart w:id="37" w:name="_Ref93329888"/>
      <w:bookmarkStart w:id="38" w:name="_Ref92725699"/>
      <w:r w:rsidRPr="006720BA">
        <w:rPr>
          <w:rFonts w:ascii="Times New Roman" w:hAnsi="Times New Roman" w:cs="Times New Roman"/>
          <w:color w:val="auto"/>
          <w:sz w:val="16"/>
          <w:szCs w:val="16"/>
        </w:rPr>
        <w:t xml:space="preserve">If the ICO issues a revised Approved Addendum under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_Ref90907400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18</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if any Party selected in Table 4 “Ending the Addendum when the Approved Addendum changes”, will as a direct result of the changes in the Approved Addendum have a substantial, disproportionate and demonstrable increase in:</w:t>
      </w:r>
      <w:bookmarkEnd w:id="37"/>
      <w:r w:rsidRPr="006720BA">
        <w:rPr>
          <w:rFonts w:ascii="Times New Roman" w:hAnsi="Times New Roman" w:cs="Times New Roman"/>
          <w:color w:val="auto"/>
          <w:sz w:val="16"/>
          <w:szCs w:val="16"/>
        </w:rPr>
        <w:t xml:space="preserve"> </w:t>
      </w:r>
    </w:p>
    <w:p w14:paraId="79391A17" w14:textId="77777777" w:rsidR="00915E15" w:rsidRPr="006720BA" w:rsidRDefault="00915E15" w:rsidP="00915E15">
      <w:pPr>
        <w:pStyle w:val="NormalNumbered"/>
        <w:numPr>
          <w:ilvl w:val="1"/>
          <w:numId w:val="24"/>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direct costs of performing its obligations under the Addendum; and/or </w:t>
      </w:r>
    </w:p>
    <w:p w14:paraId="1EAAD3ED" w14:textId="77777777" w:rsidR="00915E15" w:rsidRPr="006720BA" w:rsidRDefault="00915E15" w:rsidP="00915E15">
      <w:pPr>
        <w:pStyle w:val="NormalNumbered"/>
        <w:numPr>
          <w:ilvl w:val="1"/>
          <w:numId w:val="24"/>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risk under the Addendum, </w:t>
      </w:r>
    </w:p>
    <w:p w14:paraId="1A90F069" w14:textId="77777777" w:rsidR="00915E15" w:rsidRPr="006720BA" w:rsidRDefault="00915E15" w:rsidP="00915E15">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38"/>
    </w:p>
    <w:p w14:paraId="4563A04B" w14:textId="77777777" w:rsidR="00915E15" w:rsidRPr="006720BA" w:rsidRDefault="00915E15" w:rsidP="00915E15">
      <w:pPr>
        <w:pStyle w:val="NormalNumbered"/>
        <w:jc w:val="both"/>
        <w:rPr>
          <w:rFonts w:ascii="Times New Roman" w:hAnsi="Times New Roman" w:cs="Times New Roman"/>
          <w:color w:val="auto"/>
          <w:sz w:val="16"/>
          <w:szCs w:val="16"/>
        </w:rPr>
      </w:pPr>
      <w:bookmarkStart w:id="39" w:name="_Ref90906389"/>
      <w:r w:rsidRPr="006720BA">
        <w:rPr>
          <w:rFonts w:ascii="Times New Roman" w:hAnsi="Times New Roman" w:cs="Times New Roman"/>
          <w:color w:val="auto"/>
          <w:sz w:val="16"/>
          <w:szCs w:val="16"/>
        </w:rPr>
        <w:t>The Parties do not need the consent of any third party to make changes to this Addendum, but any changes must be made in accordance with its terms.</w:t>
      </w:r>
      <w:bookmarkEnd w:id="39"/>
    </w:p>
    <w:p w14:paraId="1A094746" w14:textId="77777777" w:rsidR="00915E15" w:rsidRPr="006720BA" w:rsidRDefault="00915E15" w:rsidP="00915E15">
      <w:pPr>
        <w:pStyle w:val="Heading2"/>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01"/>
        <w:gridCol w:w="7155"/>
      </w:tblGrid>
      <w:tr w:rsidR="00915E15" w:rsidRPr="006720BA" w14:paraId="42EA2AE7" w14:textId="77777777" w:rsidTr="00C131CD">
        <w:tc>
          <w:tcPr>
            <w:tcW w:w="1176" w:type="pct"/>
            <w:tcBorders>
              <w:bottom w:val="single" w:sz="18" w:space="0" w:color="FFC000"/>
            </w:tcBorders>
            <w:shd w:val="clear" w:color="auto" w:fill="FFF9DD"/>
          </w:tcPr>
          <w:p w14:paraId="70FFFCBA" w14:textId="77777777" w:rsidR="00915E15" w:rsidRPr="006720BA" w:rsidRDefault="00915E15"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Mandatory Clauses</w:t>
            </w:r>
          </w:p>
        </w:tc>
        <w:tc>
          <w:tcPr>
            <w:tcW w:w="3824" w:type="pct"/>
            <w:tcBorders>
              <w:bottom w:val="single" w:sz="18" w:space="0" w:color="FFC000"/>
            </w:tcBorders>
            <w:shd w:val="clear" w:color="auto" w:fill="auto"/>
          </w:tcPr>
          <w:p w14:paraId="278F6388" w14:textId="77777777" w:rsidR="00915E15" w:rsidRPr="006720BA" w:rsidRDefault="00915E15" w:rsidP="00C131CD">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Part 2: Mandatory Clauses of the Approved Addendum, being the template Addendum B.1.0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cs/>
              </w:rPr>
              <w:t>‎</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of those Mandatory Clauses.</w:t>
            </w:r>
          </w:p>
        </w:tc>
      </w:tr>
      <w:bookmarkEnd w:id="26"/>
    </w:tbl>
    <w:p w14:paraId="2C7CB93C" w14:textId="77777777" w:rsidR="00915E15" w:rsidRDefault="00915E15" w:rsidP="00915E15"/>
    <w:p w14:paraId="44B1C4CE" w14:textId="77777777" w:rsidR="00915E15" w:rsidRPr="005A006E" w:rsidRDefault="00915E15" w:rsidP="00915E15">
      <w:pPr>
        <w:jc w:val="center"/>
        <w:rPr>
          <w:rFonts w:ascii="Times New Roman" w:hAnsi="Times New Roman" w:cs="Times New Roman"/>
          <w:sz w:val="20"/>
          <w:szCs w:val="20"/>
        </w:rPr>
      </w:pPr>
    </w:p>
    <w:p w14:paraId="1114D7E5" w14:textId="77777777" w:rsidR="00D93066" w:rsidRDefault="00D93066"/>
    <w:sectPr w:rsidR="00D9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2A6"/>
    <w:multiLevelType w:val="hybridMultilevel"/>
    <w:tmpl w:val="509C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3790"/>
    <w:multiLevelType w:val="hybridMultilevel"/>
    <w:tmpl w:val="F6BC1128"/>
    <w:lvl w:ilvl="0" w:tplc="96BC1E28">
      <w:start w:val="1"/>
      <w:numFmt w:val="decimal"/>
      <w:lvlText w:val="%1."/>
      <w:lvlJc w:val="left"/>
      <w:pPr>
        <w:ind w:left="720" w:hanging="360"/>
      </w:pPr>
      <w:rPr>
        <w:rFonts w:hint="default"/>
        <w:b/>
        <w:b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423"/>
    <w:multiLevelType w:val="hybridMultilevel"/>
    <w:tmpl w:val="F020BAEC"/>
    <w:lvl w:ilvl="0" w:tplc="2730D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2443"/>
    <w:multiLevelType w:val="hybridMultilevel"/>
    <w:tmpl w:val="9BF81EEE"/>
    <w:lvl w:ilvl="0" w:tplc="624672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56BD5"/>
    <w:multiLevelType w:val="hybridMultilevel"/>
    <w:tmpl w:val="7DCC7952"/>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5E050E">
      <w:start w:val="1"/>
      <w:numFmt w:val="lowerLetter"/>
      <w:lvlText w:val="%2."/>
      <w:lvlJc w:val="left"/>
      <w:pPr>
        <w:ind w:left="108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CB6BF8"/>
    <w:multiLevelType w:val="hybridMultilevel"/>
    <w:tmpl w:val="52888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F3350"/>
    <w:multiLevelType w:val="hybridMultilevel"/>
    <w:tmpl w:val="61CC4C62"/>
    <w:lvl w:ilvl="0" w:tplc="C91028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C2C365B"/>
    <w:multiLevelType w:val="multilevel"/>
    <w:tmpl w:val="D6EEF0A0"/>
    <w:styleLink w:val="NumberingMain"/>
    <w:lvl w:ilvl="0">
      <w:start w:val="1"/>
      <w:numFmt w:val="decimal"/>
      <w:pStyle w:val="BBHeading1"/>
      <w:lvlText w:val="%1."/>
      <w:lvlJc w:val="left"/>
      <w:pPr>
        <w:tabs>
          <w:tab w:val="num" w:pos="992"/>
        </w:tabs>
        <w:ind w:left="992" w:hanging="992"/>
      </w:pPr>
      <w:rPr>
        <w:rFonts w:hint="default"/>
      </w:rPr>
    </w:lvl>
    <w:lvl w:ilvl="1">
      <w:start w:val="1"/>
      <w:numFmt w:val="decimal"/>
      <w:pStyle w:val="BBClause2"/>
      <w:lvlText w:val="%1.%2"/>
      <w:lvlJc w:val="left"/>
      <w:pPr>
        <w:tabs>
          <w:tab w:val="num" w:pos="992"/>
        </w:tabs>
        <w:ind w:left="992" w:hanging="992"/>
      </w:pPr>
      <w:rPr>
        <w:rFonts w:hint="default"/>
      </w:rPr>
    </w:lvl>
    <w:lvl w:ilvl="2">
      <w:start w:val="1"/>
      <w:numFmt w:val="decimal"/>
      <w:pStyle w:val="BBClause3"/>
      <w:lvlText w:val="%1.%2.%3"/>
      <w:lvlJc w:val="left"/>
      <w:pPr>
        <w:tabs>
          <w:tab w:val="num" w:pos="992"/>
        </w:tabs>
        <w:ind w:left="992" w:hanging="992"/>
      </w:pPr>
      <w:rPr>
        <w:rFonts w:hint="default"/>
      </w:rPr>
    </w:lvl>
    <w:lvl w:ilvl="3">
      <w:start w:val="1"/>
      <w:numFmt w:val="decimal"/>
      <w:pStyle w:val="BBClause4"/>
      <w:lvlText w:val="%1.%2.%3.%4"/>
      <w:lvlJc w:val="left"/>
      <w:pPr>
        <w:tabs>
          <w:tab w:val="num" w:pos="992"/>
        </w:tabs>
        <w:ind w:left="992" w:hanging="992"/>
      </w:pPr>
      <w:rPr>
        <w:rFonts w:hint="default"/>
      </w:rPr>
    </w:lvl>
    <w:lvl w:ilvl="4">
      <w:start w:val="1"/>
      <w:numFmt w:val="lowerLetter"/>
      <w:pStyle w:val="BBClause5"/>
      <w:lvlText w:val="(%5)"/>
      <w:lvlJc w:val="left"/>
      <w:pPr>
        <w:tabs>
          <w:tab w:val="num" w:pos="1701"/>
        </w:tabs>
        <w:ind w:left="1701" w:hanging="709"/>
      </w:pPr>
      <w:rPr>
        <w:rFonts w:hint="default"/>
      </w:rPr>
    </w:lvl>
    <w:lvl w:ilvl="5">
      <w:start w:val="1"/>
      <w:numFmt w:val="lowerRoman"/>
      <w:pStyle w:val="BBClause6"/>
      <w:lvlText w:val="(%6)"/>
      <w:lvlJc w:val="left"/>
      <w:pPr>
        <w:tabs>
          <w:tab w:val="num" w:pos="1701"/>
        </w:tabs>
        <w:ind w:left="1701" w:hanging="709"/>
      </w:pPr>
      <w:rPr>
        <w:rFonts w:hint="default"/>
      </w:rPr>
    </w:lvl>
    <w:lvl w:ilvl="6">
      <w:start w:val="1"/>
      <w:numFmt w:val="upperLetter"/>
      <w:pStyle w:val="BBClause7"/>
      <w:lvlText w:val="(%7)"/>
      <w:lvlJc w:val="left"/>
      <w:pPr>
        <w:tabs>
          <w:tab w:val="num" w:pos="1701"/>
        </w:tabs>
        <w:ind w:left="1701" w:hanging="709"/>
      </w:pPr>
      <w:rPr>
        <w:rFonts w:hint="default"/>
      </w:rPr>
    </w:lvl>
    <w:lvl w:ilvl="7">
      <w:start w:val="1"/>
      <w:numFmt w:val="upperRoman"/>
      <w:pStyle w:val="BBClause8"/>
      <w:lvlText w:val="(%8)"/>
      <w:lvlJc w:val="left"/>
      <w:pPr>
        <w:tabs>
          <w:tab w:val="num" w:pos="1701"/>
        </w:tabs>
        <w:ind w:left="1701" w:hanging="709"/>
      </w:pPr>
      <w:rPr>
        <w:rFonts w:hint="default"/>
      </w:rPr>
    </w:lvl>
    <w:lvl w:ilvl="8">
      <w:start w:val="1"/>
      <w:numFmt w:val="lowerRoman"/>
      <w:pStyle w:val="BBClause9"/>
      <w:lvlText w:val="%9."/>
      <w:lvlJc w:val="left"/>
      <w:pPr>
        <w:tabs>
          <w:tab w:val="num" w:pos="1701"/>
        </w:tabs>
        <w:ind w:left="1701" w:hanging="709"/>
      </w:pPr>
      <w:rPr>
        <w:rFonts w:hint="default"/>
      </w:rPr>
    </w:lvl>
  </w:abstractNum>
  <w:abstractNum w:abstractNumId="8"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0C0E62"/>
    <w:multiLevelType w:val="hybridMultilevel"/>
    <w:tmpl w:val="4BAC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C40AE3"/>
    <w:multiLevelType w:val="hybridMultilevel"/>
    <w:tmpl w:val="AAF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10DFB"/>
    <w:multiLevelType w:val="hybridMultilevel"/>
    <w:tmpl w:val="E2BCED5A"/>
    <w:lvl w:ilvl="0" w:tplc="658AE2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660EE"/>
    <w:multiLevelType w:val="multilevel"/>
    <w:tmpl w:val="D6EEF0A0"/>
    <w:numStyleLink w:val="NumberingMain"/>
  </w:abstractNum>
  <w:abstractNum w:abstractNumId="13" w15:restartNumberingAfterBreak="0">
    <w:nsid w:val="635E60E1"/>
    <w:multiLevelType w:val="hybridMultilevel"/>
    <w:tmpl w:val="0FEC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77DF"/>
    <w:multiLevelType w:val="hybridMultilevel"/>
    <w:tmpl w:val="DDCC862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35776"/>
    <w:multiLevelType w:val="hybridMultilevel"/>
    <w:tmpl w:val="BBECEC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880425"/>
    <w:multiLevelType w:val="hybridMultilevel"/>
    <w:tmpl w:val="9DD6C30C"/>
    <w:lvl w:ilvl="0" w:tplc="E474B3C0">
      <w:start w:val="1"/>
      <w:numFmt w:val="decimal"/>
      <w:pStyle w:val="NormalNumbered"/>
      <w:lvlText w:val="%1."/>
      <w:lvlJc w:val="left"/>
      <w:pPr>
        <w:ind w:left="36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090019">
      <w:start w:val="1"/>
      <w:numFmt w:val="lowerLetter"/>
      <w:lvlText w:val="%2."/>
      <w:lvlJc w:val="left"/>
      <w:pPr>
        <w:ind w:left="1080"/>
      </w:pPr>
      <w:rPr>
        <w:rFonts w:hint="default"/>
        <w:b w:val="0"/>
        <w:i w:val="0"/>
        <w:strike w:val="0"/>
        <w:dstrike w:val="0"/>
        <w:color w:val="000000"/>
        <w:sz w:val="16"/>
        <w:szCs w:val="16"/>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B8140B"/>
    <w:multiLevelType w:val="hybridMultilevel"/>
    <w:tmpl w:val="5C5EDC68"/>
    <w:lvl w:ilvl="0" w:tplc="1A626A2A">
      <w:start w:val="1"/>
      <w:numFmt w:val="lowerLetter"/>
      <w:lvlText w:val="%1."/>
      <w:lvlJc w:val="left"/>
      <w:pPr>
        <w:ind w:left="814"/>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8" w15:restartNumberingAfterBreak="0">
    <w:nsid w:val="6CD037EF"/>
    <w:multiLevelType w:val="hybridMultilevel"/>
    <w:tmpl w:val="2A542172"/>
    <w:lvl w:ilvl="0" w:tplc="62467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E0472F"/>
    <w:multiLevelType w:val="hybridMultilevel"/>
    <w:tmpl w:val="0FEC4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A3DDE"/>
    <w:multiLevelType w:val="hybridMultilevel"/>
    <w:tmpl w:val="65920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3257CB"/>
    <w:multiLevelType w:val="hybridMultilevel"/>
    <w:tmpl w:val="52888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121CD"/>
    <w:multiLevelType w:val="hybridMultilevel"/>
    <w:tmpl w:val="28AE0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5"/>
  </w:num>
  <w:num w:numId="5">
    <w:abstractNumId w:val="14"/>
  </w:num>
  <w:num w:numId="6">
    <w:abstractNumId w:val="23"/>
  </w:num>
  <w:num w:numId="7">
    <w:abstractNumId w:val="9"/>
  </w:num>
  <w:num w:numId="8">
    <w:abstractNumId w:val="1"/>
  </w:num>
  <w:num w:numId="9">
    <w:abstractNumId w:val="7"/>
  </w:num>
  <w:num w:numId="10">
    <w:abstractNumId w:val="12"/>
  </w:num>
  <w:num w:numId="11">
    <w:abstractNumId w:val="2"/>
  </w:num>
  <w:num w:numId="12">
    <w:abstractNumId w:val="18"/>
  </w:num>
  <w:num w:numId="13">
    <w:abstractNumId w:val="3"/>
  </w:num>
  <w:num w:numId="14">
    <w:abstractNumId w:val="13"/>
  </w:num>
  <w:num w:numId="15">
    <w:abstractNumId w:val="20"/>
  </w:num>
  <w:num w:numId="16">
    <w:abstractNumId w:val="21"/>
  </w:num>
  <w:num w:numId="17">
    <w:abstractNumId w:val="10"/>
  </w:num>
  <w:num w:numId="18">
    <w:abstractNumId w:val="0"/>
  </w:num>
  <w:num w:numId="19">
    <w:abstractNumId w:val="15"/>
  </w:num>
  <w:num w:numId="20">
    <w:abstractNumId w:val="4"/>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ung, Melody">
    <w15:presenceInfo w15:providerId="AD" w15:userId="S::Melody.Cheung@cvent.com::1a34a851-cf82-4927-9a74-89a633c6c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C7"/>
    <w:rsid w:val="00143C8B"/>
    <w:rsid w:val="001D7BC7"/>
    <w:rsid w:val="007D0860"/>
    <w:rsid w:val="008C531A"/>
    <w:rsid w:val="00915E15"/>
    <w:rsid w:val="009A5D8E"/>
    <w:rsid w:val="00D32989"/>
    <w:rsid w:val="00D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09BF"/>
  <w15:chartTrackingRefBased/>
  <w15:docId w15:val="{E125C5B6-A028-4245-A23F-FBE4FED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C7"/>
    <w:rPr>
      <w:rFonts w:eastAsiaTheme="minorEastAsia"/>
      <w:lang w:eastAsia="zh-CN"/>
    </w:rPr>
  </w:style>
  <w:style w:type="paragraph" w:styleId="Heading2">
    <w:name w:val="heading 2"/>
    <w:basedOn w:val="Normal"/>
    <w:next w:val="Normal"/>
    <w:link w:val="Heading2Char"/>
    <w:uiPriority w:val="9"/>
    <w:unhideWhenUsed/>
    <w:qFormat/>
    <w:rsid w:val="00915E15"/>
    <w:pPr>
      <w:keepNext/>
      <w:spacing w:before="360" w:after="200" w:line="276" w:lineRule="auto"/>
      <w:outlineLvl w:val="1"/>
    </w:pPr>
    <w:rPr>
      <w:rFonts w:ascii="Georgia" w:eastAsia="Georgia" w:hAnsi="Georgia" w:cs="Georgia"/>
      <w:color w:val="003768"/>
      <w:sz w:val="32"/>
      <w:szCs w:val="18"/>
      <w:lang w:val="en-GB"/>
    </w:rPr>
  </w:style>
  <w:style w:type="paragraph" w:styleId="Heading3">
    <w:name w:val="heading 3"/>
    <w:basedOn w:val="Normal"/>
    <w:next w:val="Normal"/>
    <w:link w:val="Heading3Char"/>
    <w:uiPriority w:val="9"/>
    <w:unhideWhenUsed/>
    <w:qFormat/>
    <w:rsid w:val="00915E15"/>
    <w:pPr>
      <w:keepNext/>
      <w:keepLines/>
      <w:spacing w:before="360" w:after="200" w:line="276" w:lineRule="auto"/>
      <w:outlineLvl w:val="2"/>
    </w:pPr>
    <w:rPr>
      <w:rFonts w:ascii="Verdana" w:eastAsiaTheme="majorEastAsia" w:hAnsi="Verdana" w:cstheme="majorBidi"/>
      <w:b/>
      <w:color w:val="00376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C7"/>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1D7BC7"/>
    <w:rPr>
      <w:sz w:val="16"/>
      <w:szCs w:val="16"/>
    </w:rPr>
  </w:style>
  <w:style w:type="paragraph" w:styleId="CommentText">
    <w:name w:val="annotation text"/>
    <w:basedOn w:val="Normal"/>
    <w:link w:val="CommentTextChar"/>
    <w:uiPriority w:val="99"/>
    <w:semiHidden/>
    <w:unhideWhenUsed/>
    <w:rsid w:val="001D7BC7"/>
    <w:pPr>
      <w:spacing w:line="240" w:lineRule="auto"/>
    </w:pPr>
    <w:rPr>
      <w:sz w:val="20"/>
      <w:szCs w:val="20"/>
    </w:rPr>
  </w:style>
  <w:style w:type="character" w:customStyle="1" w:styleId="CommentTextChar">
    <w:name w:val="Comment Text Char"/>
    <w:basedOn w:val="DefaultParagraphFont"/>
    <w:link w:val="CommentText"/>
    <w:uiPriority w:val="99"/>
    <w:semiHidden/>
    <w:rsid w:val="001D7BC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D7BC7"/>
    <w:rPr>
      <w:b/>
      <w:bCs/>
    </w:rPr>
  </w:style>
  <w:style w:type="character" w:customStyle="1" w:styleId="CommentSubjectChar">
    <w:name w:val="Comment Subject Char"/>
    <w:basedOn w:val="CommentTextChar"/>
    <w:link w:val="CommentSubject"/>
    <w:uiPriority w:val="99"/>
    <w:semiHidden/>
    <w:rsid w:val="001D7BC7"/>
    <w:rPr>
      <w:rFonts w:eastAsiaTheme="minorEastAsia"/>
      <w:b/>
      <w:bCs/>
      <w:sz w:val="20"/>
      <w:szCs w:val="20"/>
      <w:lang w:eastAsia="zh-CN"/>
    </w:rPr>
  </w:style>
  <w:style w:type="paragraph" w:styleId="ListParagraph">
    <w:name w:val="List Paragraph"/>
    <w:aliases w:val="Nummerierung"/>
    <w:basedOn w:val="Normal"/>
    <w:link w:val="ListParagraphChar"/>
    <w:uiPriority w:val="34"/>
    <w:qFormat/>
    <w:rsid w:val="001D7BC7"/>
    <w:pPr>
      <w:spacing w:after="120" w:line="240" w:lineRule="auto"/>
      <w:ind w:left="720"/>
      <w:contextualSpacing/>
      <w:jc w:val="both"/>
    </w:pPr>
    <w:rPr>
      <w:rFonts w:ascii="Times New Roman" w:eastAsia="Times New Roman" w:hAnsi="Times New Roman" w:cs="Times New Roman"/>
      <w:szCs w:val="24"/>
      <w:lang w:eastAsia="en-US"/>
    </w:rPr>
  </w:style>
  <w:style w:type="paragraph" w:customStyle="1" w:styleId="TxBr2p6">
    <w:name w:val="TxBr_2p6"/>
    <w:basedOn w:val="Normal"/>
    <w:rsid w:val="001D7BC7"/>
    <w:pPr>
      <w:tabs>
        <w:tab w:val="left" w:pos="368"/>
        <w:tab w:val="left" w:pos="1031"/>
      </w:tabs>
      <w:snapToGrid w:val="0"/>
      <w:spacing w:after="0" w:line="221" w:lineRule="atLeast"/>
      <w:ind w:left="368" w:firstLine="664"/>
      <w:jc w:val="both"/>
    </w:pPr>
    <w:rPr>
      <w:rFonts w:ascii="Times New Roman" w:eastAsia="Times New Roman" w:hAnsi="Times New Roman" w:cs="Times New Roman"/>
      <w:sz w:val="24"/>
      <w:szCs w:val="20"/>
      <w:lang w:eastAsia="en-US"/>
    </w:rPr>
  </w:style>
  <w:style w:type="character" w:customStyle="1" w:styleId="staticpgtext">
    <w:name w:val="staticpgtext"/>
    <w:basedOn w:val="DefaultParagraphFont"/>
    <w:rsid w:val="001D7BC7"/>
    <w:rPr>
      <w:rFonts w:ascii="Arial" w:hAnsi="Arial" w:cs="Arial" w:hint="default"/>
      <w:sz w:val="20"/>
      <w:szCs w:val="20"/>
    </w:rPr>
  </w:style>
  <w:style w:type="character" w:customStyle="1" w:styleId="ListParagraphChar">
    <w:name w:val="List Paragraph Char"/>
    <w:aliases w:val="Nummerierung Char"/>
    <w:basedOn w:val="DefaultParagraphFont"/>
    <w:link w:val="ListParagraph"/>
    <w:uiPriority w:val="34"/>
    <w:rsid w:val="001D7BC7"/>
    <w:rPr>
      <w:rFonts w:ascii="Times New Roman" w:eastAsia="Times New Roman" w:hAnsi="Times New Roman" w:cs="Times New Roman"/>
      <w:szCs w:val="24"/>
    </w:rPr>
  </w:style>
  <w:style w:type="paragraph" w:styleId="BodyText">
    <w:name w:val="Body Text"/>
    <w:basedOn w:val="Normal"/>
    <w:link w:val="BodyTextChar"/>
    <w:rsid w:val="001D7BC7"/>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1D7BC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BC7"/>
    <w:rPr>
      <w:color w:val="0563C1" w:themeColor="hyperlink"/>
      <w:u w:val="single"/>
    </w:rPr>
  </w:style>
  <w:style w:type="character" w:styleId="UnresolvedMention">
    <w:name w:val="Unresolved Mention"/>
    <w:basedOn w:val="DefaultParagraphFont"/>
    <w:uiPriority w:val="99"/>
    <w:semiHidden/>
    <w:unhideWhenUsed/>
    <w:rsid w:val="001D7BC7"/>
    <w:rPr>
      <w:color w:val="605E5C"/>
      <w:shd w:val="clear" w:color="auto" w:fill="E1DFDD"/>
    </w:rPr>
  </w:style>
  <w:style w:type="numbering" w:customStyle="1" w:styleId="NumberingMain">
    <w:name w:val="Numbering Main"/>
    <w:uiPriority w:val="99"/>
    <w:rsid w:val="001D7BC7"/>
    <w:pPr>
      <w:numPr>
        <w:numId w:val="9"/>
      </w:numPr>
    </w:pPr>
  </w:style>
  <w:style w:type="paragraph" w:customStyle="1" w:styleId="BBHeading1">
    <w:name w:val="B&amp;B Heading 1"/>
    <w:basedOn w:val="BodyText"/>
    <w:next w:val="Normal"/>
    <w:uiPriority w:val="9"/>
    <w:qFormat/>
    <w:rsid w:val="001D7BC7"/>
    <w:pPr>
      <w:numPr>
        <w:numId w:val="10"/>
      </w:numPr>
      <w:spacing w:after="240"/>
      <w:jc w:val="both"/>
      <w:outlineLvl w:val="0"/>
    </w:pPr>
    <w:rPr>
      <w:rFonts w:asciiTheme="majorHAnsi" w:eastAsiaTheme="minorHAnsi" w:hAnsiTheme="majorHAnsi"/>
      <w:b/>
      <w:caps/>
      <w:sz w:val="22"/>
      <w:szCs w:val="22"/>
      <w:lang w:val="en-GB"/>
    </w:rPr>
  </w:style>
  <w:style w:type="paragraph" w:customStyle="1" w:styleId="BBClause2">
    <w:name w:val="B&amp;B Clause 2"/>
    <w:basedOn w:val="BodyText"/>
    <w:uiPriority w:val="29"/>
    <w:qFormat/>
    <w:rsid w:val="001D7BC7"/>
    <w:pPr>
      <w:numPr>
        <w:ilvl w:val="1"/>
        <w:numId w:val="10"/>
      </w:numPr>
      <w:spacing w:after="240"/>
      <w:jc w:val="both"/>
    </w:pPr>
    <w:rPr>
      <w:rFonts w:asciiTheme="minorHAnsi" w:eastAsiaTheme="minorHAnsi" w:hAnsiTheme="minorHAnsi"/>
      <w:sz w:val="22"/>
      <w:szCs w:val="22"/>
      <w:lang w:val="en-GB"/>
    </w:rPr>
  </w:style>
  <w:style w:type="paragraph" w:customStyle="1" w:styleId="BBClause3">
    <w:name w:val="B&amp;B Clause 3"/>
    <w:basedOn w:val="BodyText"/>
    <w:uiPriority w:val="29"/>
    <w:qFormat/>
    <w:rsid w:val="001D7BC7"/>
    <w:pPr>
      <w:numPr>
        <w:ilvl w:val="2"/>
        <w:numId w:val="10"/>
      </w:numPr>
      <w:spacing w:after="240"/>
      <w:jc w:val="both"/>
    </w:pPr>
    <w:rPr>
      <w:rFonts w:asciiTheme="minorHAnsi" w:eastAsiaTheme="minorHAnsi" w:hAnsiTheme="minorHAnsi"/>
      <w:sz w:val="22"/>
      <w:szCs w:val="22"/>
      <w:lang w:val="en-GB"/>
    </w:rPr>
  </w:style>
  <w:style w:type="paragraph" w:customStyle="1" w:styleId="BBClause4">
    <w:name w:val="B&amp;B Clause 4"/>
    <w:basedOn w:val="BodyText"/>
    <w:uiPriority w:val="29"/>
    <w:qFormat/>
    <w:rsid w:val="001D7BC7"/>
    <w:pPr>
      <w:numPr>
        <w:ilvl w:val="3"/>
        <w:numId w:val="10"/>
      </w:numPr>
      <w:spacing w:after="240"/>
      <w:jc w:val="both"/>
    </w:pPr>
    <w:rPr>
      <w:rFonts w:asciiTheme="minorHAnsi" w:eastAsiaTheme="minorHAnsi" w:hAnsiTheme="minorHAnsi"/>
      <w:sz w:val="22"/>
      <w:szCs w:val="22"/>
      <w:lang w:val="en-GB"/>
    </w:rPr>
  </w:style>
  <w:style w:type="paragraph" w:customStyle="1" w:styleId="BBClause5">
    <w:name w:val="B&amp;B Clause 5"/>
    <w:basedOn w:val="BodyText"/>
    <w:uiPriority w:val="29"/>
    <w:rsid w:val="001D7BC7"/>
    <w:pPr>
      <w:numPr>
        <w:ilvl w:val="4"/>
        <w:numId w:val="10"/>
      </w:numPr>
      <w:spacing w:after="240"/>
      <w:jc w:val="both"/>
    </w:pPr>
    <w:rPr>
      <w:rFonts w:asciiTheme="minorHAnsi" w:eastAsiaTheme="minorHAnsi" w:hAnsiTheme="minorHAnsi"/>
      <w:sz w:val="22"/>
      <w:szCs w:val="22"/>
      <w:lang w:val="en-GB"/>
    </w:rPr>
  </w:style>
  <w:style w:type="paragraph" w:customStyle="1" w:styleId="BBClause6">
    <w:name w:val="B&amp;B Clause 6"/>
    <w:basedOn w:val="BodyText"/>
    <w:uiPriority w:val="29"/>
    <w:rsid w:val="001D7BC7"/>
    <w:pPr>
      <w:numPr>
        <w:ilvl w:val="5"/>
        <w:numId w:val="10"/>
      </w:numPr>
      <w:spacing w:after="240"/>
      <w:jc w:val="both"/>
    </w:pPr>
    <w:rPr>
      <w:rFonts w:asciiTheme="minorHAnsi" w:eastAsiaTheme="minorHAnsi" w:hAnsiTheme="minorHAnsi"/>
      <w:sz w:val="22"/>
      <w:szCs w:val="22"/>
      <w:lang w:val="en-GB"/>
    </w:rPr>
  </w:style>
  <w:style w:type="paragraph" w:customStyle="1" w:styleId="BBClause7">
    <w:name w:val="B&amp;B Clause 7"/>
    <w:basedOn w:val="BodyText"/>
    <w:uiPriority w:val="29"/>
    <w:rsid w:val="001D7BC7"/>
    <w:pPr>
      <w:numPr>
        <w:ilvl w:val="6"/>
        <w:numId w:val="10"/>
      </w:numPr>
      <w:spacing w:after="240"/>
      <w:jc w:val="both"/>
    </w:pPr>
    <w:rPr>
      <w:rFonts w:asciiTheme="minorHAnsi" w:eastAsiaTheme="minorHAnsi" w:hAnsiTheme="minorHAnsi"/>
      <w:sz w:val="22"/>
      <w:szCs w:val="22"/>
      <w:lang w:val="en-GB"/>
    </w:rPr>
  </w:style>
  <w:style w:type="paragraph" w:customStyle="1" w:styleId="BBClause8">
    <w:name w:val="B&amp;B Clause 8"/>
    <w:basedOn w:val="BodyText"/>
    <w:uiPriority w:val="29"/>
    <w:rsid w:val="001D7BC7"/>
    <w:pPr>
      <w:numPr>
        <w:ilvl w:val="7"/>
        <w:numId w:val="10"/>
      </w:numPr>
      <w:spacing w:after="240"/>
      <w:jc w:val="both"/>
    </w:pPr>
    <w:rPr>
      <w:rFonts w:asciiTheme="minorHAnsi" w:eastAsiaTheme="minorHAnsi" w:hAnsiTheme="minorHAnsi"/>
      <w:sz w:val="22"/>
      <w:szCs w:val="22"/>
      <w:lang w:val="en-GB"/>
    </w:rPr>
  </w:style>
  <w:style w:type="paragraph" w:customStyle="1" w:styleId="BBClause9">
    <w:name w:val="B&amp;B Clause 9"/>
    <w:basedOn w:val="BodyText"/>
    <w:uiPriority w:val="29"/>
    <w:rsid w:val="001D7BC7"/>
    <w:pPr>
      <w:numPr>
        <w:ilvl w:val="8"/>
        <w:numId w:val="10"/>
      </w:numPr>
      <w:spacing w:after="240"/>
      <w:jc w:val="both"/>
    </w:pPr>
    <w:rPr>
      <w:rFonts w:asciiTheme="minorHAnsi" w:eastAsiaTheme="minorHAnsi" w:hAnsiTheme="minorHAnsi"/>
      <w:sz w:val="22"/>
      <w:szCs w:val="22"/>
      <w:lang w:val="en-GB"/>
    </w:rPr>
  </w:style>
  <w:style w:type="character" w:styleId="PlaceholderText">
    <w:name w:val="Placeholder Text"/>
    <w:basedOn w:val="DefaultParagraphFont"/>
    <w:uiPriority w:val="99"/>
    <w:semiHidden/>
    <w:rsid w:val="001D7BC7"/>
    <w:rPr>
      <w:color w:val="808080"/>
    </w:rPr>
  </w:style>
  <w:style w:type="character" w:customStyle="1" w:styleId="Heading2Char">
    <w:name w:val="Heading 2 Char"/>
    <w:basedOn w:val="DefaultParagraphFont"/>
    <w:link w:val="Heading2"/>
    <w:uiPriority w:val="9"/>
    <w:rsid w:val="00915E15"/>
    <w:rPr>
      <w:rFonts w:ascii="Georgia" w:eastAsia="Georgia" w:hAnsi="Georgia" w:cs="Georgia"/>
      <w:color w:val="003768"/>
      <w:sz w:val="32"/>
      <w:szCs w:val="18"/>
      <w:lang w:val="en-GB" w:eastAsia="zh-CN"/>
    </w:rPr>
  </w:style>
  <w:style w:type="character" w:customStyle="1" w:styleId="Heading3Char">
    <w:name w:val="Heading 3 Char"/>
    <w:basedOn w:val="DefaultParagraphFont"/>
    <w:link w:val="Heading3"/>
    <w:uiPriority w:val="9"/>
    <w:rsid w:val="00915E15"/>
    <w:rPr>
      <w:rFonts w:ascii="Verdana" w:eastAsiaTheme="majorEastAsia" w:hAnsi="Verdana" w:cstheme="majorBidi"/>
      <w:b/>
      <w:color w:val="003768"/>
      <w:szCs w:val="24"/>
      <w:lang w:val="en-GB" w:eastAsia="en-GB"/>
    </w:rPr>
  </w:style>
  <w:style w:type="table" w:styleId="TableGrid">
    <w:name w:val="Table Grid"/>
    <w:basedOn w:val="TableNormal"/>
    <w:uiPriority w:val="39"/>
    <w:rsid w:val="00915E15"/>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915E15"/>
    <w:rPr>
      <w:rFonts w:ascii="Verdana" w:hAnsi="Verdana"/>
    </w:rPr>
  </w:style>
  <w:style w:type="paragraph" w:customStyle="1" w:styleId="Body">
    <w:name w:val="Body"/>
    <w:basedOn w:val="Normal"/>
    <w:link w:val="BodyChar"/>
    <w:qFormat/>
    <w:rsid w:val="00915E15"/>
    <w:pPr>
      <w:numPr>
        <w:numId w:val="21"/>
      </w:numPr>
      <w:tabs>
        <w:tab w:val="left" w:pos="1843"/>
        <w:tab w:val="left" w:pos="3119"/>
        <w:tab w:val="left" w:pos="4253"/>
      </w:tabs>
      <w:spacing w:before="120" w:after="120" w:line="276" w:lineRule="auto"/>
    </w:pPr>
    <w:rPr>
      <w:rFonts w:ascii="Verdana" w:eastAsiaTheme="minorHAnsi" w:hAnsi="Verdana"/>
      <w:lang w:eastAsia="en-US"/>
    </w:rPr>
  </w:style>
  <w:style w:type="paragraph" w:customStyle="1" w:styleId="aDefinition">
    <w:name w:val="(a) Definition"/>
    <w:basedOn w:val="Body"/>
    <w:qFormat/>
    <w:rsid w:val="00915E15"/>
    <w:pPr>
      <w:numPr>
        <w:ilvl w:val="1"/>
      </w:numPr>
      <w:tabs>
        <w:tab w:val="clear" w:pos="851"/>
        <w:tab w:val="clear" w:pos="1843"/>
        <w:tab w:val="clear" w:pos="3119"/>
        <w:tab w:val="clear" w:pos="4253"/>
        <w:tab w:val="num" w:pos="360"/>
        <w:tab w:val="num" w:pos="992"/>
      </w:tabs>
      <w:ind w:left="1080" w:hanging="992"/>
    </w:pPr>
  </w:style>
  <w:style w:type="paragraph" w:customStyle="1" w:styleId="iDefinition">
    <w:name w:val="(i) Definition"/>
    <w:basedOn w:val="Body"/>
    <w:qFormat/>
    <w:rsid w:val="00915E15"/>
    <w:pPr>
      <w:numPr>
        <w:ilvl w:val="2"/>
      </w:numPr>
      <w:tabs>
        <w:tab w:val="clear" w:pos="1843"/>
        <w:tab w:val="clear" w:pos="3119"/>
        <w:tab w:val="clear" w:pos="4253"/>
        <w:tab w:val="num" w:pos="360"/>
        <w:tab w:val="num" w:pos="992"/>
      </w:tabs>
      <w:ind w:left="1800"/>
    </w:pPr>
  </w:style>
  <w:style w:type="paragraph" w:customStyle="1" w:styleId="Bodyindent">
    <w:name w:val="Body indent"/>
    <w:basedOn w:val="Body"/>
    <w:link w:val="BodyindentChar"/>
    <w:qFormat/>
    <w:rsid w:val="00915E15"/>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915E15"/>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915E15"/>
    <w:pPr>
      <w:numPr>
        <w:numId w:val="24"/>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915E15"/>
    <w:rPr>
      <w:rFonts w:ascii="Verdana" w:eastAsia="Verdana" w:hAnsi="Verdana" w:cs="Verdana"/>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21D0914&amp;from=EN" TargetMode="External"/><Relationship Id="rId13" Type="http://schemas.openxmlformats.org/officeDocument/2006/relationships/hyperlink" Target="https://eur-lex.europa.eu/legal-content/EN/TXT/HTML/?uri=CELEX:32021D0914&amp;from=EN" TargetMode="External"/><Relationship Id="rId18" Type="http://schemas.openxmlformats.org/officeDocument/2006/relationships/hyperlink" Target="https://eur-lex.europa.eu/legal-content/EN/TXT/HTML/?uri=CELEX:32021D0914&amp;from=EN"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eur-lex.europa.eu/legal-content/EN/TXT/HTML/?uri=CELEX:32021D0914&amp;from=EN" TargetMode="External"/><Relationship Id="rId7" Type="http://schemas.openxmlformats.org/officeDocument/2006/relationships/hyperlink" Target="https://eur-lex.europa.eu/legal-content/EN/TXT/HTML/?uri=CELEX:32021D0914&amp;from=EN" TargetMode="External"/><Relationship Id="rId12" Type="http://schemas.openxmlformats.org/officeDocument/2006/relationships/hyperlink" Target="https://eur-lex.europa.eu/legal-content/EN/TXT/HTML/?uri=CELEX:32021D0914&amp;from=EN" TargetMode="External"/><Relationship Id="rId17" Type="http://schemas.openxmlformats.org/officeDocument/2006/relationships/hyperlink" Target="https://eur-lex.europa.eu/legal-content/EN/TXT/HTML/?uri=CELEX:32021D0914&amp;from=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EN/TXT/HTML/?uri=CELEX:32021D0914&amp;from=EN" TargetMode="External"/><Relationship Id="rId20" Type="http://schemas.openxmlformats.org/officeDocument/2006/relationships/hyperlink" Target="https://eur-lex.europa.eu/legal-content/EN/TXT/HTML/?uri=CELEX:32021D0914&amp;from=EN" TargetMode="External"/><Relationship Id="rId1" Type="http://schemas.openxmlformats.org/officeDocument/2006/relationships/numbering" Target="numbering.xml"/><Relationship Id="rId6" Type="http://schemas.openxmlformats.org/officeDocument/2006/relationships/hyperlink" Target="https://eur-lex.europa.eu/legal-content/EN/TXT/HTML/?uri=CELEX:32021D0914&amp;from=EN" TargetMode="External"/><Relationship Id="rId11" Type="http://schemas.openxmlformats.org/officeDocument/2006/relationships/hyperlink" Target="https://eur-lex.europa.eu/legal-content/EN/AUTO/?uri=OJ:L:2018:295:TOC"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eur-lex.europa.eu/legal-content/EN/TXT/HTML/?uri=CELEX:32021D0914&amp;from=EN" TargetMode="External"/><Relationship Id="rId23" Type="http://schemas.openxmlformats.org/officeDocument/2006/relationships/hyperlink" Target="mailto:eszeto@cvent.com" TargetMode="External"/><Relationship Id="rId10" Type="http://schemas.openxmlformats.org/officeDocument/2006/relationships/hyperlink" Target="https://eur-lex.europa.eu/legal-content/EN/TXT/HTML/?uri=CELEX:32021D0914&amp;from=EN" TargetMode="External"/><Relationship Id="rId19" Type="http://schemas.openxmlformats.org/officeDocument/2006/relationships/hyperlink" Target="https://eur-lex.europa.eu/legal-content/EN/TXT/HTML/?uri=CELEX:32021D0914&amp;from=EN" TargetMode="External"/><Relationship Id="rId4" Type="http://schemas.openxmlformats.org/officeDocument/2006/relationships/webSettings" Target="webSettings.xml"/><Relationship Id="rId9" Type="http://schemas.openxmlformats.org/officeDocument/2006/relationships/hyperlink" Target="https://eur-lex.europa.eu/legal-content/EN/TXT/HTML/?uri=CELEX:32021D0914&amp;from=EN" TargetMode="External"/><Relationship Id="rId14" Type="http://schemas.openxmlformats.org/officeDocument/2006/relationships/hyperlink" Target="https://eur-lex.europa.eu/legal-content/EN/TXT/HTML/?uri=CELEX:32021D0914&amp;from=EN" TargetMode="External"/><Relationship Id="rId22" Type="http://schemas.openxmlformats.org/officeDocument/2006/relationships/hyperlink" Target="https://eur-lex.europa.eu/legal-content/EN/TXT/HTML/?uri=CELEX:32021D0914&amp;from=E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416E839DD4ABFB16C3A37557F5BCA"/>
        <w:category>
          <w:name w:val="General"/>
          <w:gallery w:val="placeholder"/>
        </w:category>
        <w:types>
          <w:type w:val="bbPlcHdr"/>
        </w:types>
        <w:behaviors>
          <w:behavior w:val="content"/>
        </w:behaviors>
        <w:guid w:val="{5E2EB032-E9D7-4AA0-806F-4B677D2505F1}"/>
      </w:docPartPr>
      <w:docPartBody>
        <w:p w:rsidR="00CC13BF" w:rsidRDefault="004F3F8E" w:rsidP="004F3F8E">
          <w:pPr>
            <w:pStyle w:val="417416E839DD4ABFB16C3A37557F5BCA"/>
          </w:pPr>
          <w:r w:rsidRPr="00DB7E12">
            <w:rPr>
              <w:rStyle w:val="PlaceholderText"/>
              <w:rPrChange w:id="0" w:author="Cheung, Melody" w:date="2020-10-06T11:29:00Z">
                <w:rPr>
                  <w:sz w:val="20"/>
                  <w:szCs w:val="20"/>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8E"/>
    <w:rsid w:val="00273619"/>
    <w:rsid w:val="004F3F8E"/>
    <w:rsid w:val="007B700E"/>
    <w:rsid w:val="00CC13BF"/>
    <w:rsid w:val="00EB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F8E"/>
    <w:rPr>
      <w:color w:val="808080"/>
    </w:rPr>
  </w:style>
  <w:style w:type="paragraph" w:customStyle="1" w:styleId="417416E839DD4ABFB16C3A37557F5BCA">
    <w:name w:val="417416E839DD4ABFB16C3A37557F5BCA"/>
    <w:rsid w:val="004F3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12363</Words>
  <Characters>67133</Characters>
  <Application>Microsoft Office Word</Application>
  <DocSecurity>0</DocSecurity>
  <Lines>1459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Kara</dc:creator>
  <cp:keywords/>
  <dc:description/>
  <cp:lastModifiedBy>Aguilar, Kara</cp:lastModifiedBy>
  <cp:revision>2</cp:revision>
  <dcterms:created xsi:type="dcterms:W3CDTF">2022-09-20T17:38:00Z</dcterms:created>
  <dcterms:modified xsi:type="dcterms:W3CDTF">2022-09-20T17:38:00Z</dcterms:modified>
</cp:coreProperties>
</file>