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E22F" w14:textId="52ABC710" w:rsidR="008711E2" w:rsidRPr="000970BC" w:rsidRDefault="008711E2" w:rsidP="008711E2">
      <w:pPr>
        <w:pStyle w:val="BBHeading0"/>
        <w:spacing w:after="0"/>
        <w:jc w:val="center"/>
        <w:rPr>
          <w:rFonts w:ascii="Times New Roman" w:hAnsi="Times New Roman"/>
          <w:sz w:val="16"/>
          <w:szCs w:val="16"/>
        </w:rPr>
      </w:pPr>
      <w:bookmarkStart w:id="0" w:name="_Hlk62941507"/>
      <w:r w:rsidRPr="000970BC">
        <w:rPr>
          <w:rFonts w:ascii="Times New Roman" w:hAnsi="Times New Roman"/>
          <w:sz w:val="16"/>
          <w:szCs w:val="16"/>
        </w:rPr>
        <w:t>Data PROCESSING Addendum</w:t>
      </w:r>
    </w:p>
    <w:p w14:paraId="35E8160F" w14:textId="77777777" w:rsidR="008711E2" w:rsidRPr="000970BC" w:rsidRDefault="008711E2" w:rsidP="008711E2">
      <w:pPr>
        <w:pStyle w:val="BodyText"/>
        <w:spacing w:after="0"/>
        <w:ind w:firstLine="5"/>
        <w:rPr>
          <w:rFonts w:ascii="Times New Roman" w:hAnsi="Times New Roman"/>
          <w:sz w:val="16"/>
          <w:szCs w:val="16"/>
        </w:rPr>
      </w:pPr>
    </w:p>
    <w:p w14:paraId="23A304DC" w14:textId="69E1D729" w:rsidR="008711E2" w:rsidRPr="000970BC" w:rsidRDefault="008711E2" w:rsidP="008711E2">
      <w:pPr>
        <w:pStyle w:val="BodyText"/>
        <w:spacing w:after="0"/>
        <w:ind w:firstLine="5"/>
        <w:rPr>
          <w:rFonts w:ascii="Times New Roman" w:hAnsi="Times New Roman"/>
          <w:sz w:val="16"/>
          <w:szCs w:val="16"/>
        </w:rPr>
      </w:pPr>
      <w:r w:rsidRPr="000970BC">
        <w:rPr>
          <w:rFonts w:ascii="Times New Roman" w:hAnsi="Times New Roman"/>
          <w:sz w:val="16"/>
          <w:szCs w:val="16"/>
        </w:rPr>
        <w:t>This Data Processing Addendum ("</w:t>
      </w:r>
      <w:r w:rsidRPr="000970BC">
        <w:rPr>
          <w:rFonts w:ascii="Times New Roman" w:hAnsi="Times New Roman"/>
          <w:b/>
          <w:bCs/>
          <w:sz w:val="16"/>
          <w:szCs w:val="16"/>
        </w:rPr>
        <w:t>DPA</w:t>
      </w:r>
      <w:r w:rsidRPr="000970BC">
        <w:rPr>
          <w:rFonts w:ascii="Times New Roman" w:hAnsi="Times New Roman"/>
          <w:sz w:val="16"/>
          <w:szCs w:val="16"/>
        </w:rPr>
        <w:t xml:space="preserve">") is entered into by and between </w:t>
      </w:r>
      <w:r w:rsidRPr="000970BC">
        <w:rPr>
          <w:rFonts w:ascii="Times New Roman" w:hAnsi="Times New Roman"/>
          <w:b/>
          <w:bCs/>
          <w:sz w:val="16"/>
          <w:szCs w:val="16"/>
        </w:rPr>
        <w:t>Customer</w:t>
      </w:r>
      <w:r w:rsidRPr="000970BC">
        <w:rPr>
          <w:rFonts w:ascii="Times New Roman" w:hAnsi="Times New Roman"/>
          <w:sz w:val="16"/>
          <w:szCs w:val="16"/>
        </w:rPr>
        <w:t xml:space="preserve"> and Cvent, Inc., on behalf of itself and its </w:t>
      </w:r>
      <w:proofErr w:type="gramStart"/>
      <w:r w:rsidRPr="000970BC">
        <w:rPr>
          <w:rFonts w:ascii="Times New Roman" w:hAnsi="Times New Roman"/>
          <w:sz w:val="16"/>
          <w:szCs w:val="16"/>
        </w:rPr>
        <w:t>wholly-owned</w:t>
      </w:r>
      <w:proofErr w:type="gramEnd"/>
      <w:r w:rsidRPr="000970BC">
        <w:rPr>
          <w:rFonts w:ascii="Times New Roman" w:hAnsi="Times New Roman"/>
          <w:sz w:val="16"/>
          <w:szCs w:val="16"/>
        </w:rPr>
        <w:t xml:space="preserve"> subsidiaries (collectively, “</w:t>
      </w:r>
      <w:r w:rsidRPr="000970BC">
        <w:rPr>
          <w:rFonts w:ascii="Times New Roman" w:hAnsi="Times New Roman"/>
          <w:b/>
          <w:bCs/>
          <w:sz w:val="16"/>
          <w:szCs w:val="16"/>
        </w:rPr>
        <w:t>Cvent</w:t>
      </w:r>
      <w:r w:rsidRPr="000970BC">
        <w:rPr>
          <w:rFonts w:ascii="Times New Roman" w:hAnsi="Times New Roman"/>
          <w:sz w:val="16"/>
          <w:szCs w:val="16"/>
        </w:rPr>
        <w:t>”), and forms part of the Services Agreement(s) previously entered into by and between Customer and Cvent (the “</w:t>
      </w:r>
      <w:r w:rsidRPr="000970BC">
        <w:rPr>
          <w:rFonts w:ascii="Times New Roman" w:hAnsi="Times New Roman"/>
          <w:b/>
          <w:sz w:val="16"/>
          <w:szCs w:val="16"/>
        </w:rPr>
        <w:t>Agreement</w:t>
      </w:r>
      <w:r w:rsidRPr="000970BC">
        <w:rPr>
          <w:rFonts w:ascii="Times New Roman" w:hAnsi="Times New Roman"/>
          <w:sz w:val="16"/>
          <w:szCs w:val="16"/>
        </w:rPr>
        <w:t>”) to reflect the parties’ agreement with regard to the Processing of Personal Data in accordance with the requirements of Applicable Data Protection Laws. This DPA is entered into as of the later of the dates beneath the parties' signatures below. All capitalized terms not defined herein shall have the meaning set forth in the Agreement.</w:t>
      </w:r>
      <w:bookmarkEnd w:id="0"/>
    </w:p>
    <w:p w14:paraId="3FFE235F" w14:textId="77777777" w:rsidR="008711E2" w:rsidRPr="000970BC" w:rsidRDefault="008711E2" w:rsidP="008711E2">
      <w:pPr>
        <w:ind w:left="48"/>
        <w:jc w:val="both"/>
        <w:rPr>
          <w:rFonts w:ascii="Times New Roman" w:hAnsi="Times New Roman"/>
          <w:sz w:val="16"/>
          <w:szCs w:val="16"/>
        </w:rPr>
      </w:pPr>
    </w:p>
    <w:p w14:paraId="139FB6E0" w14:textId="77777777" w:rsidR="008711E2" w:rsidRPr="000970BC" w:rsidRDefault="008711E2" w:rsidP="008711E2">
      <w:pPr>
        <w:pStyle w:val="BBHeading0"/>
        <w:spacing w:after="0"/>
        <w:rPr>
          <w:rFonts w:ascii="Times New Roman" w:hAnsi="Times New Roman"/>
          <w:sz w:val="16"/>
          <w:szCs w:val="16"/>
        </w:rPr>
      </w:pPr>
      <w:r w:rsidRPr="000970BC">
        <w:rPr>
          <w:rFonts w:ascii="Times New Roman" w:hAnsi="Times New Roman"/>
          <w:sz w:val="16"/>
          <w:szCs w:val="16"/>
        </w:rPr>
        <w:t>HOW TO EXECUTE THIS DPA</w:t>
      </w:r>
    </w:p>
    <w:p w14:paraId="71376E2A" w14:textId="77777777" w:rsidR="008711E2" w:rsidRPr="000970BC" w:rsidRDefault="008711E2" w:rsidP="008711E2">
      <w:pPr>
        <w:pStyle w:val="BodyText"/>
        <w:spacing w:after="0"/>
        <w:ind w:firstLine="5"/>
        <w:rPr>
          <w:rFonts w:ascii="Times New Roman" w:hAnsi="Times New Roman"/>
          <w:sz w:val="16"/>
          <w:szCs w:val="16"/>
        </w:rPr>
      </w:pPr>
    </w:p>
    <w:p w14:paraId="768A2356" w14:textId="14615D65" w:rsidR="008711E2" w:rsidRPr="000970BC" w:rsidRDefault="008711E2" w:rsidP="008711E2">
      <w:pPr>
        <w:pStyle w:val="BodyText"/>
        <w:spacing w:after="0"/>
        <w:ind w:firstLine="5"/>
        <w:rPr>
          <w:rFonts w:ascii="Times New Roman" w:hAnsi="Times New Roman"/>
          <w:sz w:val="16"/>
          <w:szCs w:val="16"/>
        </w:rPr>
      </w:pPr>
      <w:bookmarkStart w:id="1" w:name="_Hlk104291004"/>
      <w:r w:rsidRPr="000970BC">
        <w:rPr>
          <w:rFonts w:ascii="Times New Roman" w:hAnsi="Times New Roman"/>
          <w:sz w:val="16"/>
          <w:szCs w:val="16"/>
        </w:rPr>
        <w:t>This DPA has been pre-signed on behalf of the applicable Cvent entities and consists of two parts: the main body of the DPA, Attachment 1</w:t>
      </w:r>
      <w:r w:rsidR="00447CBE">
        <w:rPr>
          <w:rFonts w:ascii="Times New Roman" w:hAnsi="Times New Roman"/>
          <w:sz w:val="16"/>
          <w:szCs w:val="16"/>
        </w:rPr>
        <w:t>,</w:t>
      </w:r>
      <w:r w:rsidR="002C3247">
        <w:rPr>
          <w:rFonts w:ascii="Times New Roman" w:hAnsi="Times New Roman"/>
          <w:sz w:val="16"/>
          <w:szCs w:val="16"/>
        </w:rPr>
        <w:t xml:space="preserve"> Attachment 2</w:t>
      </w:r>
      <w:r w:rsidR="00447CBE">
        <w:rPr>
          <w:rFonts w:ascii="Times New Roman" w:hAnsi="Times New Roman"/>
          <w:sz w:val="16"/>
          <w:szCs w:val="16"/>
        </w:rPr>
        <w:t>, Attachment 3</w:t>
      </w:r>
      <w:r w:rsidRPr="000970BC">
        <w:rPr>
          <w:rFonts w:ascii="Times New Roman" w:hAnsi="Times New Roman"/>
          <w:sz w:val="16"/>
          <w:szCs w:val="16"/>
        </w:rPr>
        <w:t xml:space="preserve">. When Cvent receives the completed and signed DPA as specified below, this DPA will become a legally binding addendum to the Agreement or Customer's order (if the Customer entity signing this DPA has only executed orders but is not a party to the Agreement). </w:t>
      </w:r>
    </w:p>
    <w:bookmarkEnd w:id="1"/>
    <w:p w14:paraId="2C7A919B" w14:textId="77777777" w:rsidR="008711E2" w:rsidRPr="000970BC" w:rsidRDefault="008711E2" w:rsidP="008711E2">
      <w:pPr>
        <w:pStyle w:val="BBClause7"/>
        <w:numPr>
          <w:ilvl w:val="0"/>
          <w:numId w:val="0"/>
        </w:numPr>
        <w:spacing w:after="0"/>
        <w:ind w:left="567"/>
        <w:rPr>
          <w:rFonts w:ascii="Times New Roman" w:hAnsi="Times New Roman"/>
          <w:sz w:val="16"/>
          <w:szCs w:val="16"/>
        </w:rPr>
      </w:pPr>
    </w:p>
    <w:p w14:paraId="7530A86B" w14:textId="77777777" w:rsidR="008711E2" w:rsidRPr="000970BC" w:rsidRDefault="008711E2" w:rsidP="008711E2">
      <w:pPr>
        <w:pStyle w:val="BBHeading0"/>
        <w:spacing w:after="0"/>
        <w:rPr>
          <w:rFonts w:ascii="Times New Roman" w:hAnsi="Times New Roman"/>
          <w:sz w:val="16"/>
          <w:szCs w:val="16"/>
        </w:rPr>
      </w:pPr>
      <w:r w:rsidRPr="000970BC">
        <w:rPr>
          <w:rFonts w:ascii="Times New Roman" w:hAnsi="Times New Roman"/>
          <w:sz w:val="16"/>
          <w:szCs w:val="16"/>
        </w:rPr>
        <w:t>DATA PROCESSING TERMS</w:t>
      </w:r>
    </w:p>
    <w:p w14:paraId="66BA0B27" w14:textId="77777777" w:rsidR="008711E2" w:rsidRPr="000970BC" w:rsidRDefault="008711E2" w:rsidP="008711E2">
      <w:pPr>
        <w:pStyle w:val="BodyText"/>
        <w:spacing w:after="0"/>
        <w:rPr>
          <w:rFonts w:ascii="Times New Roman" w:hAnsi="Times New Roman"/>
          <w:sz w:val="16"/>
          <w:szCs w:val="16"/>
        </w:rPr>
      </w:pPr>
    </w:p>
    <w:p w14:paraId="0A4AC1CB" w14:textId="77777777" w:rsidR="008711E2" w:rsidRPr="000970BC" w:rsidRDefault="008711E2" w:rsidP="008711E2">
      <w:pPr>
        <w:pStyle w:val="BodyText"/>
        <w:spacing w:after="0"/>
        <w:rPr>
          <w:rFonts w:ascii="Times New Roman" w:hAnsi="Times New Roman"/>
          <w:sz w:val="16"/>
          <w:szCs w:val="16"/>
        </w:rPr>
      </w:pPr>
      <w:r w:rsidRPr="000970BC">
        <w:rPr>
          <w:rFonts w:ascii="Times New Roman" w:hAnsi="Times New Roman"/>
          <w:sz w:val="16"/>
          <w:szCs w:val="16"/>
        </w:rPr>
        <w:t xml:space="preserve">In providing the Services to Customer pursuant to the Agreement, Cvent may process Customer Personal Data on </w:t>
      </w:r>
      <w:r w:rsidRPr="000970BC">
        <w:rPr>
          <w:rFonts w:ascii="Times New Roman" w:hAnsi="Times New Roman"/>
          <w:noProof/>
          <w:sz w:val="16"/>
          <w:szCs w:val="16"/>
          <w:lang w:val="en-US"/>
        </w:rPr>
        <w:drawing>
          <wp:inline distT="0" distB="0" distL="0" distR="0" wp14:anchorId="15A8454B" wp14:editId="73770371">
            <wp:extent cx="3048" cy="6098"/>
            <wp:effectExtent l="0" t="0" r="0" b="0"/>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7"/>
                    <a:stretch>
                      <a:fillRect/>
                    </a:stretch>
                  </pic:blipFill>
                  <pic:spPr>
                    <a:xfrm>
                      <a:off x="0" y="0"/>
                      <a:ext cx="3048" cy="6098"/>
                    </a:xfrm>
                    <a:prstGeom prst="rect">
                      <a:avLst/>
                    </a:prstGeom>
                  </pic:spPr>
                </pic:pic>
              </a:graphicData>
            </a:graphic>
          </wp:inline>
        </w:drawing>
      </w:r>
      <w:r w:rsidRPr="000970BC">
        <w:rPr>
          <w:rFonts w:ascii="Times New Roman" w:hAnsi="Times New Roman"/>
          <w:sz w:val="16"/>
          <w:szCs w:val="16"/>
        </w:rPr>
        <w:t>behalf of Customer. Cvent will comply with the provisions in this DPA with respect to its processing of any Customer Personal Data.</w:t>
      </w:r>
    </w:p>
    <w:p w14:paraId="70F94E6D" w14:textId="77777777" w:rsidR="008711E2" w:rsidRPr="000970BC" w:rsidRDefault="008711E2" w:rsidP="008711E2">
      <w:pPr>
        <w:pStyle w:val="BodyText"/>
        <w:spacing w:after="0"/>
        <w:rPr>
          <w:rFonts w:ascii="Times New Roman" w:hAnsi="Times New Roman"/>
          <w:sz w:val="16"/>
          <w:szCs w:val="16"/>
        </w:rPr>
      </w:pPr>
    </w:p>
    <w:p w14:paraId="2742A8F4" w14:textId="77777777" w:rsidR="008711E2" w:rsidRPr="000970BC" w:rsidRDefault="008711E2" w:rsidP="008711E2">
      <w:pPr>
        <w:pStyle w:val="BodyText"/>
        <w:spacing w:after="0"/>
        <w:rPr>
          <w:rFonts w:ascii="Times New Roman" w:hAnsi="Times New Roman"/>
          <w:sz w:val="16"/>
          <w:szCs w:val="16"/>
        </w:rPr>
      </w:pPr>
      <w:r w:rsidRPr="000970BC">
        <w:rPr>
          <w:rFonts w:ascii="Times New Roman" w:hAnsi="Times New Roman"/>
          <w:sz w:val="16"/>
          <w:szCs w:val="16"/>
        </w:rPr>
        <w:t>Capitalized terms used but not defined in this DPA have the same meanings as set out in the Agreement.</w:t>
      </w:r>
    </w:p>
    <w:p w14:paraId="43586E22" w14:textId="77777777" w:rsidR="008711E2" w:rsidRPr="000970BC" w:rsidRDefault="008711E2" w:rsidP="008711E2">
      <w:pPr>
        <w:pStyle w:val="BodyText"/>
        <w:spacing w:after="0"/>
        <w:rPr>
          <w:rFonts w:ascii="Times New Roman" w:hAnsi="Times New Roman"/>
          <w:sz w:val="16"/>
          <w:szCs w:val="16"/>
        </w:rPr>
      </w:pPr>
    </w:p>
    <w:p w14:paraId="3285F1DC"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Definitions</w:t>
      </w:r>
    </w:p>
    <w:p w14:paraId="579C40CA"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For the purposes of this DPA:</w:t>
      </w:r>
    </w:p>
    <w:p w14:paraId="206E643F"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Affiliate(s)</w:t>
      </w:r>
      <w:r w:rsidRPr="000970BC">
        <w:rPr>
          <w:rFonts w:ascii="Times New Roman" w:hAnsi="Times New Roman"/>
          <w:sz w:val="16"/>
          <w:szCs w:val="16"/>
        </w:rPr>
        <w:t>" has the same meaning ascribed to it in the Agreement and, if not defined in the Agreement, the term means any legal entity directly or indirectly controlling, controlled by or under common control with a party, where control means the ownership of a majority share of the stock, equity or voting interests of such entity.</w:t>
      </w:r>
    </w:p>
    <w:p w14:paraId="460876B7"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Controller</w:t>
      </w:r>
      <w:r w:rsidRPr="000970BC">
        <w:rPr>
          <w:rFonts w:ascii="Times New Roman" w:hAnsi="Times New Roman"/>
          <w:sz w:val="16"/>
          <w:szCs w:val="16"/>
        </w:rPr>
        <w:t>" means the entity which, alone or jointly with others, determines the purposes and means of the processing of Personal Data.</w:t>
      </w:r>
    </w:p>
    <w:p w14:paraId="4DBF1C4D"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Customer</w:t>
      </w:r>
      <w:r w:rsidRPr="000970BC">
        <w:rPr>
          <w:rFonts w:ascii="Times New Roman" w:hAnsi="Times New Roman"/>
          <w:sz w:val="16"/>
          <w:szCs w:val="16"/>
        </w:rPr>
        <w:t>" means the non-Cvent party to both the Agreement and this DPA that has access to the Services.</w:t>
      </w:r>
    </w:p>
    <w:p w14:paraId="37AD9D4D"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Data Subject</w:t>
      </w:r>
      <w:r w:rsidRPr="000970BC">
        <w:rPr>
          <w:rFonts w:ascii="Times New Roman" w:hAnsi="Times New Roman"/>
          <w:sz w:val="16"/>
          <w:szCs w:val="16"/>
        </w:rPr>
        <w:t>" means the individual to whom Personal Data relates.</w:t>
      </w:r>
    </w:p>
    <w:p w14:paraId="1A7858F5" w14:textId="5F2F170D"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Applicable Data Protection Laws</w:t>
      </w:r>
      <w:r w:rsidRPr="000970BC">
        <w:rPr>
          <w:rFonts w:ascii="Times New Roman" w:hAnsi="Times New Roman"/>
          <w:sz w:val="16"/>
          <w:szCs w:val="16"/>
        </w:rPr>
        <w:t>" means all laws and regulations, including</w:t>
      </w:r>
      <w:r w:rsidR="00447CBE">
        <w:rPr>
          <w:rFonts w:ascii="Times New Roman" w:hAnsi="Times New Roman"/>
          <w:sz w:val="16"/>
          <w:szCs w:val="16"/>
        </w:rPr>
        <w:t xml:space="preserve"> but not limited to</w:t>
      </w:r>
      <w:r w:rsidRPr="000970BC">
        <w:rPr>
          <w:rFonts w:ascii="Times New Roman" w:hAnsi="Times New Roman"/>
          <w:sz w:val="16"/>
          <w:szCs w:val="16"/>
        </w:rPr>
        <w:t xml:space="preserve"> laws and regulations of the </w:t>
      </w:r>
      <w:r w:rsidR="00447CBE">
        <w:rPr>
          <w:rFonts w:ascii="Times New Roman" w:hAnsi="Times New Roman"/>
          <w:sz w:val="16"/>
          <w:szCs w:val="16"/>
        </w:rPr>
        <w:t xml:space="preserve">State of California, the Commonwealth of Virginia, the </w:t>
      </w:r>
      <w:r w:rsidRPr="000970BC">
        <w:rPr>
          <w:rFonts w:ascii="Times New Roman" w:hAnsi="Times New Roman"/>
          <w:sz w:val="16"/>
          <w:szCs w:val="16"/>
        </w:rPr>
        <w:t>European Union, the European Economic Area and their member states, Switzerland, and the United Kingdom, applicable to the Processing of Personal Data under the Agreement.</w:t>
      </w:r>
    </w:p>
    <w:p w14:paraId="15F97B82" w14:textId="5F2B949A"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Cvent</w:t>
      </w:r>
      <w:r w:rsidRPr="000970BC">
        <w:rPr>
          <w:rFonts w:ascii="Times New Roman" w:hAnsi="Times New Roman"/>
          <w:sz w:val="16"/>
          <w:szCs w:val="16"/>
        </w:rPr>
        <w:t>" means the Cvent entity that is a party to both the Agreement and this DPA, which may be Cvent, Inc., a company incorporated in the State of Delaware, or a Cvent Affiliate, including but not limited to the following: Cvent Europe Ltd., Cvent Nederland B.V., Cvent Deutschland GmbH, Cvent Australia Pty Limited, Cvent Singapore Pte. Ltd., Cvent FZ-LLC</w:t>
      </w:r>
      <w:r w:rsidR="00447CBE">
        <w:rPr>
          <w:rFonts w:ascii="Times New Roman" w:hAnsi="Times New Roman"/>
          <w:sz w:val="16"/>
          <w:szCs w:val="16"/>
        </w:rPr>
        <w:t>, Cvent India Private Limited</w:t>
      </w:r>
      <w:r w:rsidRPr="000970BC">
        <w:rPr>
          <w:rFonts w:ascii="Times New Roman" w:hAnsi="Times New Roman"/>
          <w:sz w:val="16"/>
          <w:szCs w:val="16"/>
        </w:rPr>
        <w:t>.</w:t>
      </w:r>
    </w:p>
    <w:p w14:paraId="1F03EF2A" w14:textId="77777777" w:rsidR="008711E2" w:rsidRPr="000970BC" w:rsidRDefault="008711E2" w:rsidP="008711E2">
      <w:pPr>
        <w:pStyle w:val="BBClause5"/>
        <w:spacing w:after="0"/>
        <w:ind w:hanging="708"/>
        <w:rPr>
          <w:rFonts w:ascii="Times New Roman" w:hAnsi="Times New Roman"/>
          <w:sz w:val="16"/>
          <w:szCs w:val="16"/>
        </w:rPr>
      </w:pPr>
      <w:bookmarkStart w:id="2" w:name="_Hlk108846473"/>
      <w:r w:rsidRPr="000970BC">
        <w:rPr>
          <w:rFonts w:ascii="Times New Roman" w:hAnsi="Times New Roman"/>
          <w:sz w:val="16"/>
          <w:szCs w:val="16"/>
        </w:rPr>
        <w:t>"</w:t>
      </w:r>
      <w:r w:rsidRPr="000970BC">
        <w:rPr>
          <w:rFonts w:ascii="Times New Roman" w:hAnsi="Times New Roman"/>
          <w:b/>
          <w:bCs/>
          <w:sz w:val="16"/>
          <w:szCs w:val="16"/>
        </w:rPr>
        <w:t>Personal Data</w:t>
      </w:r>
      <w:r w:rsidRPr="000970BC">
        <w:rPr>
          <w:rFonts w:ascii="Times New Roman" w:hAnsi="Times New Roman"/>
          <w:sz w:val="16"/>
          <w:szCs w:val="16"/>
        </w:rPr>
        <w:t xml:space="preserve">" means any personal data relating to an identified or identifiable natural person; an identifiable natural person is one who can be identified, directly or indirectly, </w:t>
      </w:r>
      <w:proofErr w:type="gramStart"/>
      <w:r w:rsidRPr="000970BC">
        <w:rPr>
          <w:rFonts w:ascii="Times New Roman" w:hAnsi="Times New Roman"/>
          <w:sz w:val="16"/>
          <w:szCs w:val="16"/>
        </w:rPr>
        <w:t>in particular by</w:t>
      </w:r>
      <w:proofErr w:type="gramEnd"/>
      <w:r w:rsidRPr="000970BC">
        <w:rPr>
          <w:rFonts w:ascii="Times New Roman" w:hAnsi="Times New Roman"/>
          <w:sz w:val="16"/>
          <w:szCs w:val="16"/>
        </w:rPr>
        <w:t xml:space="preserve"> reference to an identifier such as a name, an identification number, location data, an online identifier or to one or more factors specific to the physical, physiological, genetic, mental, economic, cultural or social identity of that natural person.</w:t>
      </w:r>
    </w:p>
    <w:bookmarkEnd w:id="2"/>
    <w:p w14:paraId="74FAD5ED" w14:textId="5EBA9E32"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Customer Personal Data</w:t>
      </w:r>
      <w:r w:rsidRPr="000970BC">
        <w:rPr>
          <w:rFonts w:ascii="Times New Roman" w:hAnsi="Times New Roman"/>
          <w:sz w:val="16"/>
          <w:szCs w:val="16"/>
        </w:rPr>
        <w:t xml:space="preserve">" means any Personal Data processed by the Customer as a Controller, or, as the case may be (and in accordance with Sec. 3.1. below), as a Processor as set out in </w:t>
      </w:r>
      <w:r w:rsidR="00447CBE">
        <w:rPr>
          <w:rFonts w:ascii="Times New Roman" w:hAnsi="Times New Roman"/>
          <w:sz w:val="16"/>
          <w:szCs w:val="16"/>
        </w:rPr>
        <w:t>Annex</w:t>
      </w:r>
      <w:r w:rsidRPr="000970BC">
        <w:rPr>
          <w:rFonts w:ascii="Times New Roman" w:hAnsi="Times New Roman"/>
          <w:sz w:val="16"/>
          <w:szCs w:val="16"/>
        </w:rPr>
        <w:t xml:space="preserve"> 1</w:t>
      </w:r>
      <w:r w:rsidR="00447CBE">
        <w:rPr>
          <w:rFonts w:ascii="Times New Roman" w:hAnsi="Times New Roman"/>
          <w:sz w:val="16"/>
          <w:szCs w:val="16"/>
        </w:rPr>
        <w:t xml:space="preserve"> of Attachment 1</w:t>
      </w:r>
      <w:r w:rsidRPr="000970BC">
        <w:rPr>
          <w:rFonts w:ascii="Times New Roman" w:hAnsi="Times New Roman"/>
          <w:sz w:val="16"/>
          <w:szCs w:val="16"/>
        </w:rPr>
        <w:t>.</w:t>
      </w:r>
    </w:p>
    <w:p w14:paraId="55EDE3BA"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Processor</w:t>
      </w:r>
      <w:r w:rsidRPr="000970BC">
        <w:rPr>
          <w:rFonts w:ascii="Times New Roman" w:hAnsi="Times New Roman"/>
          <w:sz w:val="16"/>
          <w:szCs w:val="16"/>
        </w:rPr>
        <w:t>" means an entity which processes Personal Data on behalf of the Controller.</w:t>
      </w:r>
    </w:p>
    <w:p w14:paraId="22462F83"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Sub-processor</w:t>
      </w:r>
      <w:r w:rsidRPr="000970BC">
        <w:rPr>
          <w:rFonts w:ascii="Times New Roman" w:hAnsi="Times New Roman"/>
          <w:sz w:val="16"/>
          <w:szCs w:val="16"/>
        </w:rPr>
        <w:t>" means any person appointed by or on behalf of the Processor, or by or on behalf of an existing Sub-processor, to process Personal Data on behalf of Controller.</w:t>
      </w:r>
    </w:p>
    <w:p w14:paraId="79997F5D"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Services</w:t>
      </w:r>
      <w:r w:rsidRPr="000970BC">
        <w:rPr>
          <w:rFonts w:ascii="Times New Roman" w:hAnsi="Times New Roman"/>
          <w:sz w:val="16"/>
          <w:szCs w:val="16"/>
        </w:rPr>
        <w:t>" means the Software as a Service and associated professional services provided by Cvent to Customer under the Agreement.</w:t>
      </w:r>
    </w:p>
    <w:p w14:paraId="10B81DA1"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Security Incident</w:t>
      </w:r>
      <w:r w:rsidRPr="000970BC">
        <w:rPr>
          <w:rFonts w:ascii="Times New Roman" w:hAnsi="Times New Roman"/>
          <w:sz w:val="16"/>
          <w:szCs w:val="16"/>
        </w:rPr>
        <w:t>" means accidental or unlawful destruction, loss, alteration, unauthorised disclosure, access or use.</w:t>
      </w:r>
    </w:p>
    <w:p w14:paraId="0255734C"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b/>
          <w:bCs/>
          <w:sz w:val="16"/>
          <w:szCs w:val="16"/>
        </w:rPr>
        <w:t>“EU Standard Contractual Clauses</w:t>
      </w:r>
      <w:r w:rsidRPr="000970BC">
        <w:rPr>
          <w:rFonts w:ascii="Times New Roman" w:hAnsi="Times New Roman"/>
          <w:sz w:val="16"/>
          <w:szCs w:val="16"/>
        </w:rPr>
        <w:t>” means, as applicable, the agreement executed by and between Customer and Cvent and attached hereto as Attachment 1 pursuant to the European Commission on Standard Contractual Clauses for the transfer of personal data to processors established in third countries which do not ensure an adequate level of data protection.</w:t>
      </w:r>
    </w:p>
    <w:p w14:paraId="2334DADE" w14:textId="5097A7D8"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b/>
          <w:bCs/>
          <w:sz w:val="16"/>
          <w:szCs w:val="16"/>
        </w:rPr>
        <w:t xml:space="preserve">“UK </w:t>
      </w:r>
      <w:r w:rsidR="003B10D9">
        <w:rPr>
          <w:rFonts w:ascii="Times New Roman" w:hAnsi="Times New Roman"/>
          <w:b/>
          <w:bCs/>
          <w:sz w:val="16"/>
          <w:szCs w:val="16"/>
        </w:rPr>
        <w:t>International Data Transfer Addendum</w:t>
      </w:r>
      <w:r w:rsidRPr="000970BC">
        <w:rPr>
          <w:rFonts w:ascii="Times New Roman" w:hAnsi="Times New Roman"/>
          <w:b/>
          <w:bCs/>
          <w:sz w:val="16"/>
          <w:szCs w:val="16"/>
        </w:rPr>
        <w:t xml:space="preserve">” </w:t>
      </w:r>
      <w:r w:rsidR="003B10D9">
        <w:rPr>
          <w:rFonts w:ascii="Times New Roman" w:hAnsi="Times New Roman"/>
          <w:b/>
          <w:bCs/>
          <w:sz w:val="16"/>
          <w:szCs w:val="16"/>
        </w:rPr>
        <w:t xml:space="preserve">or “UK </w:t>
      </w:r>
      <w:r w:rsidR="00E74F82">
        <w:rPr>
          <w:rFonts w:ascii="Times New Roman" w:hAnsi="Times New Roman"/>
          <w:b/>
          <w:bCs/>
          <w:sz w:val="16"/>
          <w:szCs w:val="16"/>
        </w:rPr>
        <w:t>Addendum</w:t>
      </w:r>
      <w:r w:rsidR="003B10D9">
        <w:rPr>
          <w:rFonts w:ascii="Times New Roman" w:hAnsi="Times New Roman"/>
          <w:b/>
          <w:bCs/>
          <w:sz w:val="16"/>
          <w:szCs w:val="16"/>
        </w:rPr>
        <w:t xml:space="preserve">” </w:t>
      </w:r>
      <w:r w:rsidRPr="000970BC">
        <w:rPr>
          <w:rFonts w:ascii="Times New Roman" w:hAnsi="Times New Roman"/>
          <w:sz w:val="16"/>
          <w:szCs w:val="16"/>
        </w:rPr>
        <w:t xml:space="preserve">means, as applicable, the </w:t>
      </w:r>
      <w:r w:rsidR="005B0FEC" w:rsidRPr="005B0FEC">
        <w:rPr>
          <w:rFonts w:ascii="Times New Roman" w:hAnsi="Times New Roman"/>
          <w:sz w:val="16"/>
          <w:szCs w:val="16"/>
        </w:rPr>
        <w:t xml:space="preserve">International Data Transfer Addendum to the EU Commission Standard Contractual Clauses </w:t>
      </w:r>
      <w:r w:rsidRPr="000970BC">
        <w:rPr>
          <w:rFonts w:ascii="Times New Roman" w:hAnsi="Times New Roman"/>
          <w:sz w:val="16"/>
          <w:szCs w:val="16"/>
        </w:rPr>
        <w:t xml:space="preserve">executed by and between Customer and Cvent and attached hereto as Attachment 2 </w:t>
      </w:r>
      <w:r w:rsidR="003B10D9">
        <w:rPr>
          <w:rFonts w:ascii="Times New Roman" w:hAnsi="Times New Roman"/>
          <w:sz w:val="16"/>
          <w:szCs w:val="16"/>
        </w:rPr>
        <w:t>issued by the UK ICO for making Restricted Transfers as defined by the</w:t>
      </w:r>
      <w:r w:rsidR="003B10D9" w:rsidRPr="000970BC">
        <w:rPr>
          <w:rFonts w:ascii="Times New Roman" w:hAnsi="Times New Roman"/>
          <w:sz w:val="16"/>
          <w:szCs w:val="16"/>
        </w:rPr>
        <w:t xml:space="preserve"> UK ICO</w:t>
      </w:r>
      <w:r>
        <w:rPr>
          <w:rFonts w:ascii="Times New Roman" w:hAnsi="Times New Roman"/>
          <w:sz w:val="16"/>
          <w:szCs w:val="16"/>
        </w:rPr>
        <w:t>.</w:t>
      </w:r>
      <w:r w:rsidRPr="000970BC">
        <w:rPr>
          <w:rFonts w:ascii="Times New Roman" w:hAnsi="Times New Roman"/>
          <w:sz w:val="16"/>
          <w:szCs w:val="16"/>
        </w:rPr>
        <w:t xml:space="preserve"> </w:t>
      </w:r>
    </w:p>
    <w:p w14:paraId="3DBD293A" w14:textId="77777777" w:rsidR="008711E2" w:rsidRPr="000970BC" w:rsidRDefault="008711E2" w:rsidP="008711E2">
      <w:pPr>
        <w:pStyle w:val="BBClause5"/>
        <w:numPr>
          <w:ilvl w:val="0"/>
          <w:numId w:val="0"/>
        </w:numPr>
        <w:spacing w:after="0"/>
        <w:ind w:left="1701"/>
        <w:rPr>
          <w:rFonts w:ascii="Times New Roman" w:hAnsi="Times New Roman"/>
          <w:sz w:val="16"/>
          <w:szCs w:val="16"/>
        </w:rPr>
      </w:pPr>
    </w:p>
    <w:p w14:paraId="1CE377DB"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Applicability of DPA</w:t>
      </w:r>
    </w:p>
    <w:p w14:paraId="5D79C19B" w14:textId="25F5F231"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lastRenderedPageBreak/>
        <w:t>Applicability</w:t>
      </w:r>
      <w:r w:rsidRPr="000970BC">
        <w:rPr>
          <w:rFonts w:ascii="Times New Roman" w:hAnsi="Times New Roman"/>
          <w:sz w:val="16"/>
          <w:szCs w:val="16"/>
        </w:rPr>
        <w:t>. This DPA shall apply only to the extent Customer or Cvent are subject to the Applicable Data Protection Laws.</w:t>
      </w:r>
    </w:p>
    <w:p w14:paraId="2305483A"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1CB0A8A6"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Roles and Responsibilities</w:t>
      </w:r>
    </w:p>
    <w:p w14:paraId="40429809" w14:textId="67590BD4"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Parties' Roles</w:t>
      </w:r>
      <w:r w:rsidRPr="000970BC">
        <w:rPr>
          <w:rFonts w:ascii="Times New Roman" w:hAnsi="Times New Roman"/>
          <w:sz w:val="16"/>
          <w:szCs w:val="16"/>
        </w:rPr>
        <w:t>. Customer, as Controller, appoints Cvent as a Processor to process the Customer Personal Data on Customer's behalf. In some circumstances Customer may be a Processor, in which case Customer appoints Cvent as Customer's Sub-processor, which shall not change the obligations of either Customer or Cvent under this DPA, as Cvent will remain a Processor with respect to the Customer in such event. However, the Customer shall notify and keep Cvent updated on whether Cvent acts, in relation to specific processing activities, as a Processor or a Sub-processor, and if the latter is the case on the identity of the actual Controller</w:t>
      </w:r>
      <w:r w:rsidR="00447CBE">
        <w:rPr>
          <w:rFonts w:ascii="Times New Roman" w:hAnsi="Times New Roman"/>
          <w:sz w:val="16"/>
          <w:szCs w:val="16"/>
        </w:rPr>
        <w:t>.</w:t>
      </w:r>
    </w:p>
    <w:p w14:paraId="55CF5FCB"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0F9AD660"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Purpose Limitation</w:t>
      </w:r>
      <w:r w:rsidRPr="000970BC">
        <w:rPr>
          <w:rFonts w:ascii="Times New Roman" w:hAnsi="Times New Roman"/>
          <w:sz w:val="16"/>
          <w:szCs w:val="16"/>
        </w:rPr>
        <w:t>. Cvent shall process Customer Personal Data for the purposes set forth in the Agreement and only in accordance with the lawful, documented instructions of Customer (including with regard to transfers of Customer Personal Data to a third country), unless Cvent is required to process Customer Personal Data by the Applicable Data Protection Laws to which Cvent is subject to (in such a case, Cvent shall inform the Customer of that legal requirement before processing, unless applicable law prohibits such information). The Customer's instructions may be specific or of a general nature as set out in this DPA or as otherwise notified by the Customer to Cvent from time to time and not for Cvent's own purposes.  Cvent may refrain from execution of the Customer's instruction if it notifies the Customer immediately that, in Cvent's opinion, an instruction for the processing of Customer Personal Data given by the Customer infringes Applicable Data Protection Laws.  The purpose of this Section 3.2. is only to determine the scope and the purposes of processing of Customer Personal Data by Cvent and nothing in this DPA will be deemed an obligation of Cvent to accept any instructions of the Customer other than provided under the Agreement.</w:t>
      </w:r>
    </w:p>
    <w:p w14:paraId="421EDC5E"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34F8E488"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Training</w:t>
      </w:r>
      <w:r w:rsidRPr="000970BC">
        <w:rPr>
          <w:rFonts w:ascii="Times New Roman" w:hAnsi="Times New Roman"/>
          <w:sz w:val="16"/>
          <w:szCs w:val="16"/>
        </w:rPr>
        <w:t>. Cvent shall ensure that its relevant employees, agents and contractors receive appropriate training regarding their responsibilities and obligations with respect to the processing, protection and confidentiality of Customer Personal Data.</w:t>
      </w:r>
    </w:p>
    <w:p w14:paraId="4B63FBD7"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55C1370E"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Compliance</w:t>
      </w:r>
      <w:r w:rsidRPr="000970BC">
        <w:rPr>
          <w:rFonts w:ascii="Times New Roman" w:hAnsi="Times New Roman"/>
          <w:sz w:val="16"/>
          <w:szCs w:val="16"/>
        </w:rPr>
        <w:t xml:space="preserve">. </w:t>
      </w:r>
      <w:bookmarkStart w:id="3" w:name="_Hlk108846104"/>
      <w:r w:rsidRPr="000970BC">
        <w:rPr>
          <w:rFonts w:ascii="Times New Roman" w:hAnsi="Times New Roman"/>
          <w:sz w:val="16"/>
          <w:szCs w:val="16"/>
        </w:rPr>
        <w:t>Customer, irrespective of the Customer's role as a Controller or a Processor, shall be responsible for ensuring that, in connection with Customer Personal Data and the Services:</w:t>
      </w:r>
    </w:p>
    <w:p w14:paraId="7069E6A7" w14:textId="77777777" w:rsidR="008711E2" w:rsidRPr="000970BC" w:rsidRDefault="008711E2" w:rsidP="008711E2">
      <w:pPr>
        <w:pStyle w:val="BBClause5"/>
        <w:spacing w:after="0"/>
        <w:rPr>
          <w:rFonts w:ascii="Times New Roman" w:hAnsi="Times New Roman"/>
          <w:sz w:val="16"/>
          <w:szCs w:val="16"/>
        </w:rPr>
      </w:pPr>
      <w:r w:rsidRPr="000970BC">
        <w:rPr>
          <w:rFonts w:ascii="Times New Roman" w:hAnsi="Times New Roman"/>
          <w:sz w:val="16"/>
          <w:szCs w:val="16"/>
        </w:rPr>
        <w:t>it has complied, and will continue to comply, with all applicable laws relating to privacy and data protection, including Applicable Data Protection Laws; and</w:t>
      </w:r>
    </w:p>
    <w:p w14:paraId="29C29B51" w14:textId="77777777" w:rsidR="008711E2" w:rsidRPr="000970BC" w:rsidRDefault="008711E2" w:rsidP="008711E2">
      <w:pPr>
        <w:pStyle w:val="BBClause5"/>
        <w:spacing w:after="0"/>
        <w:rPr>
          <w:rFonts w:ascii="Times New Roman" w:hAnsi="Times New Roman"/>
          <w:sz w:val="16"/>
          <w:szCs w:val="16"/>
        </w:rPr>
      </w:pPr>
      <w:r w:rsidRPr="000970BC">
        <w:rPr>
          <w:rFonts w:ascii="Times New Roman" w:hAnsi="Times New Roman"/>
          <w:sz w:val="16"/>
          <w:szCs w:val="16"/>
        </w:rPr>
        <w:t>it has, and will continue to have, the right to transfer, or provide access to, the Customer Personal Data to Cvent for processing in accordance with the terms of the Agreement and this DPA.</w:t>
      </w:r>
    </w:p>
    <w:bookmarkEnd w:id="3"/>
    <w:p w14:paraId="29CD35A3" w14:textId="77777777" w:rsidR="008711E2" w:rsidRPr="000970BC" w:rsidRDefault="008711E2" w:rsidP="008711E2">
      <w:pPr>
        <w:pStyle w:val="BBClause5"/>
        <w:numPr>
          <w:ilvl w:val="0"/>
          <w:numId w:val="0"/>
        </w:numPr>
        <w:spacing w:after="0"/>
        <w:ind w:left="1701"/>
        <w:rPr>
          <w:rFonts w:ascii="Times New Roman" w:hAnsi="Times New Roman"/>
          <w:sz w:val="16"/>
          <w:szCs w:val="16"/>
        </w:rPr>
      </w:pPr>
    </w:p>
    <w:p w14:paraId="408F856F"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If Customer uses the Services to process any categories of Personal Data not expressly covered by this DPA, Customer acts at its own risk and Cvent shall not be responsible for any potential compliance deficits related to such use.</w:t>
      </w:r>
    </w:p>
    <w:p w14:paraId="5CFEB748"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32CA3BB2"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Cvent employees’/contractors’ Personal Data.</w:t>
      </w:r>
      <w:r w:rsidRPr="000970BC">
        <w:rPr>
          <w:rFonts w:ascii="Times New Roman" w:hAnsi="Times New Roman"/>
          <w:sz w:val="16"/>
          <w:szCs w:val="16"/>
        </w:rPr>
        <w:t xml:space="preserve"> Where Cvent discloses Cvent employees’/contractors’ Personal Data to the Customer or a Cvent employee/contractor provides Personal Data directly to Customer, which the Customer processes to manage its use of the Services, Customer shall process that Personal Data in accordance with its privacy policies and applicable privacy laws, in particular Applicable Data Protection Laws. Such disclosures shall be made by Cvent only where lawful for the purposes of contract management, service management or security purposes.</w:t>
      </w:r>
    </w:p>
    <w:p w14:paraId="1360DCC8"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06029237"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Security</w:t>
      </w:r>
    </w:p>
    <w:p w14:paraId="2BB00C3E"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Security</w:t>
      </w:r>
      <w:r w:rsidRPr="000970BC">
        <w:rPr>
          <w:rFonts w:ascii="Times New Roman" w:hAnsi="Times New Roman"/>
          <w:sz w:val="16"/>
          <w:szCs w:val="16"/>
        </w:rPr>
        <w:t xml:space="preserve">. Cvent shall implement appropriate technical and organisational measures designed to protect the Customer Personal Data from a Security Incident and in accordance with Cvent's security standards as set forth in the Agreement as well as with Applicable Data Protection Laws (including Article 32 of the GDPR). Cvent will also, </w:t>
      </w:r>
      <w:proofErr w:type="gramStart"/>
      <w:r w:rsidRPr="000970BC">
        <w:rPr>
          <w:rFonts w:ascii="Times New Roman" w:hAnsi="Times New Roman"/>
          <w:sz w:val="16"/>
          <w:szCs w:val="16"/>
        </w:rPr>
        <w:t>taking into account</w:t>
      </w:r>
      <w:proofErr w:type="gramEnd"/>
      <w:r w:rsidRPr="000970BC">
        <w:rPr>
          <w:rFonts w:ascii="Times New Roman" w:hAnsi="Times New Roman"/>
          <w:sz w:val="16"/>
          <w:szCs w:val="16"/>
        </w:rPr>
        <w:t xml:space="preserve"> the nature of processing and the information available to Cvent, assist the Customer in ensuring its compliance with the obligations pursuant to Article 32 of the GDPR.</w:t>
      </w:r>
    </w:p>
    <w:p w14:paraId="1BD26C36"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728E043E"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Confidentiality of Processing</w:t>
      </w:r>
      <w:r w:rsidRPr="000970BC">
        <w:rPr>
          <w:rFonts w:ascii="Times New Roman" w:hAnsi="Times New Roman"/>
          <w:sz w:val="16"/>
          <w:szCs w:val="16"/>
        </w:rPr>
        <w:t>. Cvent shall ensure that any person that it authorizes to process the Customer Personal Data (including its staff, agents and subcontractors) shall be subject to a duty of confidentiality (whether a contractual or a statutory duty) that shall survive the termination of their employment and/or contractual relationship.</w:t>
      </w:r>
    </w:p>
    <w:p w14:paraId="4D45BA4E"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07091EE0"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Security Incidents</w:t>
      </w:r>
      <w:r w:rsidRPr="000970BC">
        <w:rPr>
          <w:rFonts w:ascii="Times New Roman" w:hAnsi="Times New Roman"/>
          <w:sz w:val="16"/>
          <w:szCs w:val="16"/>
        </w:rPr>
        <w:t xml:space="preserve">. Upon becoming aware of a confirmed Security Incident, Cvent shall notify Customer without undue delay and pursuant to the terms of the Agreement and shall provide such timely information as Customer may reasonably require </w:t>
      </w:r>
      <w:proofErr w:type="gramStart"/>
      <w:r w:rsidRPr="000970BC">
        <w:rPr>
          <w:rFonts w:ascii="Times New Roman" w:hAnsi="Times New Roman"/>
          <w:sz w:val="16"/>
          <w:szCs w:val="16"/>
        </w:rPr>
        <w:t>to enable</w:t>
      </w:r>
      <w:proofErr w:type="gramEnd"/>
      <w:r w:rsidRPr="000970BC">
        <w:rPr>
          <w:rFonts w:ascii="Times New Roman" w:hAnsi="Times New Roman"/>
          <w:sz w:val="16"/>
          <w:szCs w:val="16"/>
        </w:rPr>
        <w:t xml:space="preserve"> Customer to fulfil any data breach reporting obligations under Applicable Data Protection Laws. Cvent will take steps to identify and remediate the cause of such Security Incident and to minimize its possible harm. For the avoidance of doubt, Security Incidents will not include unsuccessful attempts to, or activities that do not, compromise the security of Customer Personal Data including, without limitation, unsuccessful log in attempts, denial of service attacks and other attacks on firewalls or networked systems.</w:t>
      </w:r>
    </w:p>
    <w:p w14:paraId="03F2375E"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7E42C944"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Onward Transfers; Sub-processing</w:t>
      </w:r>
    </w:p>
    <w:p w14:paraId="633037C7" w14:textId="58DA00B3"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Cvent makes available the transfer mechanisms listed below which shall apply</w:t>
      </w:r>
      <w:r w:rsidR="002B1A37">
        <w:rPr>
          <w:rFonts w:ascii="Times New Roman" w:hAnsi="Times New Roman"/>
          <w:sz w:val="16"/>
          <w:szCs w:val="16"/>
        </w:rPr>
        <w:t xml:space="preserve"> </w:t>
      </w:r>
      <w:r w:rsidRPr="000970BC">
        <w:rPr>
          <w:rFonts w:ascii="Times New Roman" w:hAnsi="Times New Roman"/>
          <w:sz w:val="16"/>
          <w:szCs w:val="16"/>
        </w:rPr>
        <w:t xml:space="preserve">to any transfers of Customer Personal Data under this DPA from the European Union, the European Economic Area and/or their member states, Switzerland and the United Kingdom to countries which do not ensure an adequate level of data protection within the meaning of </w:t>
      </w:r>
      <w:r w:rsidRPr="000970BC">
        <w:rPr>
          <w:rFonts w:ascii="Times New Roman" w:hAnsi="Times New Roman"/>
          <w:sz w:val="16"/>
          <w:szCs w:val="16"/>
        </w:rPr>
        <w:lastRenderedPageBreak/>
        <w:t>Applicable Data Protection Laws of the foregoing territories, to the extent such transfers are subject to such Applicable Data Protection Laws:</w:t>
      </w:r>
    </w:p>
    <w:p w14:paraId="280E00A6" w14:textId="77777777" w:rsidR="002B1A37" w:rsidRPr="000970BC" w:rsidRDefault="002B1A37" w:rsidP="002B1A37">
      <w:pPr>
        <w:pStyle w:val="BBClause3"/>
        <w:spacing w:after="0"/>
        <w:rPr>
          <w:rFonts w:ascii="Times New Roman" w:hAnsi="Times New Roman"/>
          <w:sz w:val="16"/>
          <w:szCs w:val="16"/>
        </w:rPr>
      </w:pPr>
      <w:r>
        <w:rPr>
          <w:rFonts w:ascii="Times New Roman" w:hAnsi="Times New Roman"/>
          <w:sz w:val="16"/>
          <w:szCs w:val="16"/>
        </w:rPr>
        <w:t xml:space="preserve">EU </w:t>
      </w:r>
      <w:r w:rsidRPr="000970BC">
        <w:rPr>
          <w:rFonts w:ascii="Times New Roman" w:hAnsi="Times New Roman"/>
          <w:sz w:val="16"/>
          <w:szCs w:val="16"/>
        </w:rPr>
        <w:t>Standard Contractual Clauses attached as Attachment 1.</w:t>
      </w:r>
    </w:p>
    <w:p w14:paraId="4BD8B3B8" w14:textId="5BC78225" w:rsidR="008711E2" w:rsidRPr="000970BC" w:rsidRDefault="008711E2" w:rsidP="008711E2">
      <w:pPr>
        <w:pStyle w:val="BBClause3"/>
        <w:spacing w:after="0"/>
        <w:rPr>
          <w:rFonts w:ascii="Times New Roman" w:eastAsiaTheme="minorEastAsia" w:hAnsi="Times New Roman"/>
          <w:sz w:val="16"/>
          <w:szCs w:val="16"/>
        </w:rPr>
      </w:pPr>
      <w:r>
        <w:rPr>
          <w:rFonts w:ascii="Times New Roman" w:hAnsi="Times New Roman"/>
          <w:sz w:val="16"/>
          <w:szCs w:val="16"/>
        </w:rPr>
        <w:t xml:space="preserve">UK </w:t>
      </w:r>
      <w:r w:rsidR="00667287">
        <w:rPr>
          <w:rFonts w:ascii="Times New Roman" w:hAnsi="Times New Roman"/>
          <w:sz w:val="16"/>
          <w:szCs w:val="16"/>
        </w:rPr>
        <w:t xml:space="preserve">Addendum </w:t>
      </w:r>
      <w:r>
        <w:rPr>
          <w:rFonts w:ascii="Times New Roman" w:hAnsi="Times New Roman"/>
          <w:sz w:val="16"/>
          <w:szCs w:val="16"/>
        </w:rPr>
        <w:t>attached as Attachment 2.</w:t>
      </w:r>
    </w:p>
    <w:p w14:paraId="10E75E34" w14:textId="77777777" w:rsidR="008711E2" w:rsidRPr="000970BC" w:rsidRDefault="008711E2" w:rsidP="008711E2">
      <w:pPr>
        <w:pStyle w:val="BBClause3"/>
        <w:numPr>
          <w:ilvl w:val="0"/>
          <w:numId w:val="0"/>
        </w:numPr>
        <w:spacing w:after="0"/>
        <w:ind w:left="992"/>
        <w:rPr>
          <w:rFonts w:ascii="Times New Roman" w:hAnsi="Times New Roman"/>
          <w:sz w:val="16"/>
          <w:szCs w:val="16"/>
        </w:rPr>
      </w:pPr>
    </w:p>
    <w:p w14:paraId="1715B155" w14:textId="386CCDA0" w:rsidR="008711E2" w:rsidRPr="000970BC" w:rsidRDefault="008711E2" w:rsidP="008711E2">
      <w:pPr>
        <w:pStyle w:val="BBClause2"/>
        <w:spacing w:after="0"/>
        <w:rPr>
          <w:rFonts w:ascii="Times New Roman" w:hAnsi="Times New Roman"/>
          <w:sz w:val="16"/>
          <w:szCs w:val="16"/>
        </w:rPr>
      </w:pPr>
      <w:proofErr w:type="gramStart"/>
      <w:r w:rsidRPr="000970BC">
        <w:rPr>
          <w:rFonts w:ascii="Times New Roman" w:hAnsi="Times New Roman"/>
          <w:sz w:val="16"/>
          <w:szCs w:val="16"/>
        </w:rPr>
        <w:t>In the event that</w:t>
      </w:r>
      <w:proofErr w:type="gramEnd"/>
      <w:r w:rsidRPr="000970BC">
        <w:rPr>
          <w:rFonts w:ascii="Times New Roman" w:hAnsi="Times New Roman"/>
          <w:sz w:val="16"/>
          <w:szCs w:val="16"/>
        </w:rPr>
        <w:t xml:space="preserve"> EU authorities or courts</w:t>
      </w:r>
      <w:r>
        <w:rPr>
          <w:rFonts w:ascii="Times New Roman" w:hAnsi="Times New Roman"/>
          <w:sz w:val="16"/>
          <w:szCs w:val="16"/>
        </w:rPr>
        <w:t>, or UK Information Commissioner’s Office</w:t>
      </w:r>
      <w:r w:rsidRPr="000970BC">
        <w:rPr>
          <w:rFonts w:ascii="Times New Roman" w:hAnsi="Times New Roman"/>
          <w:sz w:val="16"/>
          <w:szCs w:val="16"/>
        </w:rPr>
        <w:t xml:space="preserve"> determine that any of the transfer mechanisms above is no longer an appropriate basis for transfers, Cvent and Customer shall promptly take all steps reasonably necessary to demonstrate adequate protection for the Customer Personal Data, using another approved mechanism. Cvent understands and agrees that Customer may terminate the transfers as needed to comply with the Applicable Data Protection Laws. In the event the</w:t>
      </w:r>
      <w:r>
        <w:rPr>
          <w:rFonts w:ascii="Times New Roman" w:hAnsi="Times New Roman"/>
          <w:sz w:val="16"/>
          <w:szCs w:val="16"/>
        </w:rPr>
        <w:t xml:space="preserve"> EU</w:t>
      </w:r>
      <w:r w:rsidRPr="000970BC">
        <w:rPr>
          <w:rFonts w:ascii="Times New Roman" w:hAnsi="Times New Roman"/>
          <w:sz w:val="16"/>
          <w:szCs w:val="16"/>
        </w:rPr>
        <w:t xml:space="preserve"> Standard Contractual Clauses </w:t>
      </w:r>
      <w:r w:rsidR="0075518C">
        <w:rPr>
          <w:rFonts w:ascii="Times New Roman" w:hAnsi="Times New Roman"/>
          <w:sz w:val="16"/>
          <w:szCs w:val="16"/>
        </w:rPr>
        <w:t xml:space="preserve">or UK Addendum </w:t>
      </w:r>
      <w:r w:rsidRPr="000970BC">
        <w:rPr>
          <w:rFonts w:ascii="Times New Roman" w:hAnsi="Times New Roman"/>
          <w:sz w:val="16"/>
          <w:szCs w:val="16"/>
        </w:rPr>
        <w:t xml:space="preserve">(or any other approved mechanism allowing for Personal Data transfers) are applicable, nothing in this DPA modifies or affects any </w:t>
      </w:r>
      <w:r>
        <w:rPr>
          <w:rFonts w:ascii="Times New Roman" w:hAnsi="Times New Roman"/>
          <w:sz w:val="16"/>
          <w:szCs w:val="16"/>
        </w:rPr>
        <w:t xml:space="preserve">commission or </w:t>
      </w:r>
      <w:r w:rsidRPr="000970BC">
        <w:rPr>
          <w:rFonts w:ascii="Times New Roman" w:hAnsi="Times New Roman"/>
          <w:sz w:val="16"/>
          <w:szCs w:val="16"/>
        </w:rPr>
        <w:t>supervisory authority's or Data Subject's rights under the</w:t>
      </w:r>
      <w:r>
        <w:rPr>
          <w:rFonts w:ascii="Times New Roman" w:hAnsi="Times New Roman"/>
          <w:sz w:val="16"/>
          <w:szCs w:val="16"/>
        </w:rPr>
        <w:t xml:space="preserve"> EU</w:t>
      </w:r>
      <w:r w:rsidRPr="000970BC">
        <w:rPr>
          <w:rFonts w:ascii="Times New Roman" w:hAnsi="Times New Roman"/>
          <w:sz w:val="16"/>
          <w:szCs w:val="16"/>
        </w:rPr>
        <w:t xml:space="preserve"> Standard Contractual Clauses</w:t>
      </w:r>
      <w:r w:rsidR="0075518C">
        <w:rPr>
          <w:rFonts w:ascii="Times New Roman" w:hAnsi="Times New Roman"/>
          <w:sz w:val="16"/>
          <w:szCs w:val="16"/>
        </w:rPr>
        <w:t xml:space="preserve"> or UK Addendum</w:t>
      </w:r>
      <w:r w:rsidRPr="000970BC">
        <w:rPr>
          <w:rFonts w:ascii="Times New Roman" w:hAnsi="Times New Roman"/>
          <w:sz w:val="16"/>
          <w:szCs w:val="16"/>
        </w:rPr>
        <w:t xml:space="preserve"> (or any such other approved mechanism). </w:t>
      </w:r>
    </w:p>
    <w:p w14:paraId="3640C573"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DE38FC3" w14:textId="1A1F08EA"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Customer agrees that Cvent may engage Cvent Affiliates and third parties as Sub-processors to process the Customer Personal Data on Cvent's behalf. Cvent shall provide</w:t>
      </w:r>
      <w:r w:rsidR="002B1A37">
        <w:rPr>
          <w:rFonts w:ascii="Times New Roman" w:hAnsi="Times New Roman"/>
          <w:sz w:val="16"/>
          <w:szCs w:val="16"/>
        </w:rPr>
        <w:t xml:space="preserve"> a mechanism for Customer to subscribe to receive notifications </w:t>
      </w:r>
      <w:r w:rsidRPr="000970BC">
        <w:rPr>
          <w:rFonts w:ascii="Times New Roman" w:hAnsi="Times New Roman"/>
          <w:sz w:val="16"/>
          <w:szCs w:val="16"/>
        </w:rPr>
        <w:t>at the following website</w:t>
      </w:r>
      <w:r w:rsidR="002B1A37">
        <w:rPr>
          <w:rFonts w:ascii="Times New Roman" w:hAnsi="Times New Roman"/>
          <w:sz w:val="16"/>
          <w:szCs w:val="16"/>
        </w:rPr>
        <w:t>, which shall include</w:t>
      </w:r>
      <w:r w:rsidRPr="000970BC">
        <w:rPr>
          <w:rFonts w:ascii="Times New Roman" w:hAnsi="Times New Roman"/>
          <w:sz w:val="16"/>
          <w:szCs w:val="16"/>
        </w:rPr>
        <w:t xml:space="preserve"> a list of Sub-Processors that are currently engaged by Cvent to carry out specific processing activities on behalf of the Customer.  Cvent will update the list at the following website: </w:t>
      </w:r>
      <w:hyperlink r:id="rId8" w:history="1">
        <w:r w:rsidRPr="000970BC">
          <w:rPr>
            <w:rStyle w:val="Hyperlink"/>
            <w:rFonts w:ascii="Times New Roman" w:hAnsi="Times New Roman"/>
            <w:sz w:val="16"/>
            <w:szCs w:val="16"/>
          </w:rPr>
          <w:t>https://www.cvent.com/uk/gdpr/cvents-affiliates-and-subprocessors.shtml</w:t>
        </w:r>
      </w:hyperlink>
      <w:r w:rsidRPr="000970BC">
        <w:rPr>
          <w:rFonts w:ascii="Times New Roman" w:hAnsi="Times New Roman"/>
          <w:sz w:val="16"/>
          <w:szCs w:val="16"/>
        </w:rPr>
        <w:t xml:space="preserve">, which allows Customer to subscribe to receive notifications of any changes and </w:t>
      </w:r>
      <w:r w:rsidRPr="000970BC">
        <w:rPr>
          <w:rFonts w:ascii="Times New Roman" w:eastAsia="Georgia" w:hAnsi="Times New Roman"/>
          <w:sz w:val="16"/>
          <w:szCs w:val="16"/>
        </w:rPr>
        <w:t xml:space="preserve">gives Customer the opportunity to object to such </w:t>
      </w:r>
      <w:r w:rsidR="002B1A37">
        <w:rPr>
          <w:rFonts w:ascii="Times New Roman" w:eastAsia="Georgia" w:hAnsi="Times New Roman"/>
          <w:sz w:val="16"/>
          <w:szCs w:val="16"/>
        </w:rPr>
        <w:t xml:space="preserve">relevant </w:t>
      </w:r>
      <w:r w:rsidRPr="000970BC">
        <w:rPr>
          <w:rFonts w:ascii="Times New Roman" w:hAnsi="Times New Roman"/>
          <w:sz w:val="16"/>
          <w:szCs w:val="16"/>
        </w:rPr>
        <w:t>Sub-processors or</w:t>
      </w:r>
      <w:r w:rsidRPr="000970BC">
        <w:rPr>
          <w:rFonts w:ascii="Times New Roman" w:eastAsia="Georgia" w:hAnsi="Times New Roman"/>
          <w:sz w:val="16"/>
          <w:szCs w:val="16"/>
        </w:rPr>
        <w:t xml:space="preserve"> changes concerning the addition or replacement thereof.  Notwithstanding the other provisions in this section, Cvent may add or replace a Sub-Processor immediately if it is necessary to ensure continuity </w:t>
      </w:r>
      <w:r w:rsidR="002B1A37">
        <w:rPr>
          <w:rFonts w:ascii="Times New Roman" w:eastAsia="Georgia" w:hAnsi="Times New Roman"/>
          <w:sz w:val="16"/>
          <w:szCs w:val="16"/>
        </w:rPr>
        <w:t xml:space="preserve">of service, data integrity, or </w:t>
      </w:r>
      <w:r w:rsidRPr="000970BC">
        <w:rPr>
          <w:rFonts w:ascii="Times New Roman" w:eastAsia="Georgia" w:hAnsi="Times New Roman"/>
          <w:sz w:val="16"/>
          <w:szCs w:val="16"/>
        </w:rPr>
        <w:t xml:space="preserve">recovery in case of emergency, except as prohibited by Applicable Data Protection Laws.  </w:t>
      </w:r>
      <w:r w:rsidRPr="000970BC">
        <w:rPr>
          <w:rFonts w:ascii="Times New Roman" w:hAnsi="Times New Roman"/>
          <w:sz w:val="16"/>
          <w:szCs w:val="16"/>
        </w:rPr>
        <w:t xml:space="preserve">Cvent shall impose on such Sub-processors data protection terms that protect the Customer Personal Data to the same standard provided for by this DPA and shall remain liable for any breach of the DPA caused by a Sub-processor. Where the Standard Contractual Clauses are applicable, Cvent shall </w:t>
      </w:r>
      <w:r w:rsidR="00A05647">
        <w:rPr>
          <w:rFonts w:ascii="Times New Roman" w:hAnsi="Times New Roman"/>
          <w:sz w:val="16"/>
          <w:szCs w:val="16"/>
        </w:rPr>
        <w:t xml:space="preserve">ensure data transfers are protected through appropriate mechanisms, such as by </w:t>
      </w:r>
      <w:proofErr w:type="gramStart"/>
      <w:r w:rsidR="00A05647">
        <w:rPr>
          <w:rFonts w:ascii="Times New Roman" w:hAnsi="Times New Roman"/>
          <w:sz w:val="16"/>
          <w:szCs w:val="16"/>
        </w:rPr>
        <w:t>entering into</w:t>
      </w:r>
      <w:proofErr w:type="gramEnd"/>
      <w:r w:rsidRPr="000970BC">
        <w:rPr>
          <w:rFonts w:ascii="Times New Roman" w:hAnsi="Times New Roman"/>
          <w:sz w:val="16"/>
          <w:szCs w:val="16"/>
        </w:rPr>
        <w:t xml:space="preserve"> Standard Contractual Clauses with such Sub-processor or use/take advantage of any other approved mechanism, including Binding Corporate Rules or an alternative recognised compliance standard for the lawful transfer of personal data</w:t>
      </w:r>
      <w:r w:rsidR="00A05647">
        <w:rPr>
          <w:rFonts w:ascii="Times New Roman" w:hAnsi="Times New Roman"/>
          <w:sz w:val="16"/>
          <w:szCs w:val="16"/>
        </w:rPr>
        <w:t>.</w:t>
      </w:r>
    </w:p>
    <w:p w14:paraId="4E0F1484"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3392DC5A"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Cooperation</w:t>
      </w:r>
    </w:p>
    <w:p w14:paraId="241C3EB7"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Data Subjects' Rights</w:t>
      </w:r>
      <w:r w:rsidRPr="000970BC">
        <w:rPr>
          <w:rFonts w:ascii="Times New Roman" w:hAnsi="Times New Roman"/>
          <w:sz w:val="16"/>
          <w:szCs w:val="16"/>
        </w:rPr>
        <w:t xml:space="preserve">. Cvent shall provide commercially reasonable assistance, including by appropriate technical and organizational measures as reasonably practicable, to enable Customer to respond to any inquiry, communication or request from a Data Subject seeking to exercise his or her rights under Applicable Data Protection Laws, including rights of access, correction, restriction, objection, erasure or data portability, as applicable. In the event such inquiry, communication or request is made directly to Cvent, Cvent shall promptly inform Customer by providing the full details of the request. For the avoidance of doubt, Customer is responsible for responding to Data Subject requests for access, correction, restriction, objection, erasure or data portability of that Data Subject's Personal Data. Cvent will be responsible for responding to Data Subject’s request for access, correction, restriction, objection, erasure or data portability or any other request from a Data Subject seeking to exercise his or her rights under Applicable Data Protection Laws to the extent the Customer itself does not have the ability, with the available standard functionalities of the Services, to respond to such request.  Cvent reserves the right to reimbursement from Customer for the reasonable cost of any time, expenditures or fees incurred in connection with such assistance provided to Customer. </w:t>
      </w:r>
    </w:p>
    <w:p w14:paraId="6A9EBA09"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653D704"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Data Protection Impact Assessments and Prior Consultation</w:t>
      </w:r>
      <w:r w:rsidRPr="000970BC">
        <w:rPr>
          <w:rFonts w:ascii="Times New Roman" w:hAnsi="Times New Roman"/>
          <w:sz w:val="16"/>
          <w:szCs w:val="16"/>
        </w:rPr>
        <w:t>. Cvent shall, to the extent required by Applicable Data Protection Laws, provide Customer with reasonable assistance with data protection impact assessments or prior consultations with data protection authorities that Customer is required to carry out under Applicable Data Protection Laws.</w:t>
      </w:r>
    </w:p>
    <w:p w14:paraId="396C95F0"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15C0D7BB"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Security Reports and Audits</w:t>
      </w:r>
    </w:p>
    <w:p w14:paraId="2220D59C"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Any provision of security attestation reports (such as SOC 2, Type II or equivalent report) or audits shall take place in accordance with Customer's rights under the Agreement. If the Agreement does not include a provision regarding security attestation reports, Cvent shall provide a copy of its most current security attestation report upon Customer's written request no more than once annually.</w:t>
      </w:r>
    </w:p>
    <w:p w14:paraId="60AF8FBF"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4A2A7691"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Cvent will allow for and contribute to audits, including inspections, conducted by the Customer in accordance with Customer's rights under the Agreement. If the Agreement does not include audit rights, Cvent and Customer will discuss and agree in advance on the reasonable start date, scope and duration of and security and confidentiality controls applicable to any audit; and Cvent reserves the right to charge a reasonable fee (based on Cvent’s reasonable costs) for any such audit. Cvent will provide further details of any applicable fee and the basis of its calculation to Customer in advance of such audit.  The purpose of an audit pursuant to this clause will be strictly limited to verifying whether Cvent is processing Customer Personal Data in accordance with the obligations hereunder and Applicable Data Protection Laws.</w:t>
      </w:r>
    </w:p>
    <w:p w14:paraId="5A136CE5" w14:textId="77777777" w:rsidR="008711E2" w:rsidRPr="000970BC" w:rsidRDefault="008711E2" w:rsidP="008711E2">
      <w:pPr>
        <w:pStyle w:val="BBClause2"/>
        <w:numPr>
          <w:ilvl w:val="0"/>
          <w:numId w:val="0"/>
        </w:numPr>
        <w:spacing w:after="0"/>
        <w:ind w:left="992"/>
        <w:rPr>
          <w:rFonts w:ascii="Times New Roman" w:hAnsi="Times New Roman"/>
          <w:sz w:val="16"/>
          <w:szCs w:val="16"/>
        </w:rPr>
      </w:pPr>
      <w:r w:rsidRPr="000970BC">
        <w:rPr>
          <w:rFonts w:ascii="Times New Roman" w:hAnsi="Times New Roman"/>
          <w:sz w:val="16"/>
          <w:szCs w:val="16"/>
        </w:rPr>
        <w:t xml:space="preserve"> </w:t>
      </w:r>
    </w:p>
    <w:p w14:paraId="36456D53"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 xml:space="preserve">Notwithstanding the above, Cvent will, subject to the confidentiality arrangements that will satisfy both parties, make available to the Customer all information held by Cvent necessary to demonstrate its compliance with the obligations </w:t>
      </w:r>
      <w:r w:rsidRPr="000970BC">
        <w:rPr>
          <w:rFonts w:ascii="Times New Roman" w:hAnsi="Times New Roman"/>
          <w:sz w:val="16"/>
          <w:szCs w:val="16"/>
        </w:rPr>
        <w:lastRenderedPageBreak/>
        <w:t xml:space="preserve">laid down in the Applicable Data Protection Laws. If Customer wishes to receive such further information to which it is entitled under Applicable Data Protection Laws, Customer shall submit a request for additional information to Cvent in writing for that additional information. Where Cvent is in possession of such information, and subject to the </w:t>
      </w:r>
      <w:proofErr w:type="gramStart"/>
      <w:r w:rsidRPr="000970BC">
        <w:rPr>
          <w:rFonts w:ascii="Times New Roman" w:hAnsi="Times New Roman"/>
          <w:sz w:val="16"/>
          <w:szCs w:val="16"/>
        </w:rPr>
        <w:t>aforementioned confidentiality</w:t>
      </w:r>
      <w:proofErr w:type="gramEnd"/>
      <w:r w:rsidRPr="000970BC">
        <w:rPr>
          <w:rFonts w:ascii="Times New Roman" w:hAnsi="Times New Roman"/>
          <w:sz w:val="16"/>
          <w:szCs w:val="16"/>
        </w:rPr>
        <w:t xml:space="preserve"> arrangements, Cvent shall supply this information to Customer as soon as reasonably practicable.</w:t>
      </w:r>
    </w:p>
    <w:p w14:paraId="207FE4B8"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57618F8"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Deletion or Return of customer PERSONAL DATA</w:t>
      </w:r>
    </w:p>
    <w:p w14:paraId="7EA8CFC9"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Deletion or Return of Data</w:t>
      </w:r>
      <w:r w:rsidRPr="000970BC">
        <w:rPr>
          <w:rFonts w:ascii="Times New Roman" w:hAnsi="Times New Roman"/>
          <w:sz w:val="16"/>
          <w:szCs w:val="16"/>
        </w:rPr>
        <w:t>. Upon termination or expiration of the Agreement, Cvent shall, in accordance with the terms of the Agreement, delete or make available to Customer for retrieval all relevant Customer Personal Data (including copies) in Cvent's possession, save to the extent that Cvent is required by any applicable law or a governmental or regulatory order to retain some or all of the Customer Personal Data, or if it is otherwise subject to liability for not retaining some or all of the Customer Personal data. In such event, Cvent shall extend the protection of the Agreement and this DPA to such Customer Personal Data and limit any further processing of such Customer Personal Data to only those limited purposes that require the retention for so long as Cvent maintains the Customer Personal Data</w:t>
      </w:r>
      <w:r w:rsidRPr="000970BC">
        <w:rPr>
          <w:rFonts w:ascii="Times New Roman" w:hAnsi="Times New Roman"/>
          <w:noProof/>
          <w:sz w:val="16"/>
          <w:szCs w:val="16"/>
          <w:lang w:val="en-US"/>
        </w:rPr>
        <w:t>.</w:t>
      </w:r>
    </w:p>
    <w:p w14:paraId="2D384F3A"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4442BA0"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Miscellaneous</w:t>
      </w:r>
    </w:p>
    <w:p w14:paraId="264A84E0"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color w:val="000000" w:themeColor="text1"/>
          <w:sz w:val="16"/>
          <w:szCs w:val="16"/>
        </w:rPr>
        <w:t xml:space="preserve">In the event that Cvent, any of its Sub-processors, or the Customer receives any regulatory request, order, or other binding decision or recommendation from the competent authority that requires amendments to the provisions hereof or any changes to the processing of </w:t>
      </w:r>
      <w:r w:rsidRPr="000970BC">
        <w:rPr>
          <w:rFonts w:ascii="Times New Roman" w:hAnsi="Times New Roman"/>
          <w:sz w:val="16"/>
          <w:szCs w:val="16"/>
        </w:rPr>
        <w:t xml:space="preserve">Customer </w:t>
      </w:r>
      <w:r w:rsidRPr="000970BC">
        <w:rPr>
          <w:rFonts w:ascii="Times New Roman" w:hAnsi="Times New Roman"/>
          <w:color w:val="000000" w:themeColor="text1"/>
          <w:sz w:val="16"/>
          <w:szCs w:val="16"/>
        </w:rPr>
        <w:t>Personal Data hereunder ("</w:t>
      </w:r>
      <w:r w:rsidRPr="000970BC">
        <w:rPr>
          <w:rFonts w:ascii="Times New Roman" w:hAnsi="Times New Roman"/>
          <w:b/>
          <w:bCs/>
          <w:color w:val="000000" w:themeColor="text1"/>
          <w:sz w:val="16"/>
          <w:szCs w:val="16"/>
        </w:rPr>
        <w:t>Regulatory Request</w:t>
      </w:r>
      <w:r w:rsidRPr="000970BC">
        <w:rPr>
          <w:rFonts w:ascii="Times New Roman" w:hAnsi="Times New Roman"/>
          <w:color w:val="000000" w:themeColor="text1"/>
          <w:sz w:val="16"/>
          <w:szCs w:val="16"/>
        </w:rPr>
        <w:t xml:space="preserve">"), Cvent and the Customer as well as, to the extent necessary and/or </w:t>
      </w:r>
      <w:r w:rsidRPr="000970BC">
        <w:rPr>
          <w:rFonts w:ascii="Times New Roman" w:hAnsi="Times New Roman"/>
          <w:sz w:val="16"/>
          <w:szCs w:val="16"/>
        </w:rPr>
        <w:t>reasonably practicable</w:t>
      </w:r>
      <w:r w:rsidRPr="000970BC">
        <w:rPr>
          <w:rFonts w:ascii="Times New Roman" w:hAnsi="Times New Roman"/>
          <w:color w:val="000000" w:themeColor="text1"/>
          <w:sz w:val="16"/>
          <w:szCs w:val="16"/>
        </w:rPr>
        <w:t>, representatives of a respective Sub-processor, shall, within a reasonable time after receiving and reviewing the Regulatory Request, discuss and work in good faith towards agreeing on a plan (“</w:t>
      </w:r>
      <w:r w:rsidRPr="000970BC">
        <w:rPr>
          <w:rFonts w:ascii="Times New Roman" w:hAnsi="Times New Roman"/>
          <w:b/>
          <w:bCs/>
          <w:color w:val="000000" w:themeColor="text1"/>
          <w:sz w:val="16"/>
          <w:szCs w:val="16"/>
        </w:rPr>
        <w:t>Compliance Review Plan</w:t>
      </w:r>
      <w:r w:rsidRPr="000970BC">
        <w:rPr>
          <w:rFonts w:ascii="Times New Roman" w:hAnsi="Times New Roman"/>
          <w:color w:val="000000" w:themeColor="text1"/>
          <w:sz w:val="16"/>
          <w:szCs w:val="16"/>
        </w:rPr>
        <w:t xml:space="preserve">”) to determine the details of how the Regulatory Request can be addressed. A timeframe for reviewing the Regulatory Request and preparing the Compliance Review Plan will be agreed between the parties, </w:t>
      </w:r>
      <w:proofErr w:type="gramStart"/>
      <w:r w:rsidRPr="000970BC">
        <w:rPr>
          <w:rFonts w:ascii="Times New Roman" w:hAnsi="Times New Roman"/>
          <w:color w:val="000000" w:themeColor="text1"/>
          <w:sz w:val="16"/>
          <w:szCs w:val="16"/>
        </w:rPr>
        <w:t>taking into account</w:t>
      </w:r>
      <w:proofErr w:type="gramEnd"/>
      <w:r w:rsidRPr="000970BC">
        <w:rPr>
          <w:rFonts w:ascii="Times New Roman" w:hAnsi="Times New Roman"/>
          <w:color w:val="000000" w:themeColor="text1"/>
          <w:sz w:val="16"/>
          <w:szCs w:val="16"/>
        </w:rPr>
        <w:t xml:space="preserve"> the requirements of </w:t>
      </w:r>
      <w:r w:rsidRPr="000970BC">
        <w:rPr>
          <w:rFonts w:ascii="Times New Roman" w:hAnsi="Times New Roman"/>
          <w:sz w:val="16"/>
          <w:szCs w:val="16"/>
        </w:rPr>
        <w:t>Applicable Data Protection Laws</w:t>
      </w:r>
      <w:r w:rsidRPr="000970BC">
        <w:rPr>
          <w:rFonts w:ascii="Times New Roman" w:hAnsi="Times New Roman"/>
          <w:color w:val="000000" w:themeColor="text1"/>
          <w:sz w:val="16"/>
          <w:szCs w:val="16"/>
        </w:rPr>
        <w:t xml:space="preserve"> and the urgency of the matter as well as doing everything commercially reasonable given the circumstances and nature of the Services to meet specific time frames set by the relevant authority in connection with the Regulatory Request. If Cvent, any of its Sub-processors, or the Customer believe that it is not possible to meet a specific time frame set by the relevant authority in connection with the Regulatory Request, Cvent and/or its Sub-processor will assist Customer to explain this to the relevant authority, including by providing details of the reasons why the timeframes cannot be met.</w:t>
      </w:r>
    </w:p>
    <w:p w14:paraId="13D8407F"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A2F07AC"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Except as amended by this DPA, the Agreement will remain in full force and effect.</w:t>
      </w:r>
      <w:r w:rsidRPr="000970BC">
        <w:rPr>
          <w:rFonts w:ascii="Times New Roman" w:hAnsi="Times New Roman"/>
          <w:noProof/>
          <w:sz w:val="16"/>
          <w:szCs w:val="16"/>
        </w:rPr>
        <w:t xml:space="preserve"> </w:t>
      </w:r>
    </w:p>
    <w:p w14:paraId="294652E3"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560F3B69" w14:textId="77777777" w:rsidR="008711E2"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If there is a conflict between the Agreement and this DPA the terms of this DPA will control.</w:t>
      </w:r>
    </w:p>
    <w:p w14:paraId="21671E50" w14:textId="77777777" w:rsidR="008711E2" w:rsidRDefault="008711E2" w:rsidP="008711E2">
      <w:pPr>
        <w:pStyle w:val="ListParagraph"/>
        <w:rPr>
          <w:rFonts w:ascii="Times New Roman" w:hAnsi="Times New Roman"/>
          <w:sz w:val="16"/>
          <w:szCs w:val="16"/>
        </w:rPr>
      </w:pPr>
    </w:p>
    <w:p w14:paraId="3652EE9C" w14:textId="05101C02" w:rsidR="000B7A1B" w:rsidRPr="008711E2" w:rsidRDefault="008711E2" w:rsidP="008711E2">
      <w:pPr>
        <w:pStyle w:val="BBClause2"/>
        <w:spacing w:after="0"/>
        <w:rPr>
          <w:rFonts w:ascii="Times New Roman" w:hAnsi="Times New Roman"/>
          <w:sz w:val="16"/>
          <w:szCs w:val="16"/>
        </w:rPr>
      </w:pPr>
      <w:r w:rsidRPr="008711E2">
        <w:rPr>
          <w:rFonts w:ascii="Times New Roman" w:hAnsi="Times New Roman"/>
          <w:sz w:val="16"/>
          <w:szCs w:val="16"/>
        </w:rPr>
        <w:t>Any claims brought under this DPA shall be subject to the terms and conditions, including but not limited to, the exclusions and limitations, set forth in the Agreement.</w:t>
      </w:r>
    </w:p>
    <w:p w14:paraId="62EC8E6E" w14:textId="77777777" w:rsidR="008711E2" w:rsidRPr="000B7A1B" w:rsidRDefault="008711E2" w:rsidP="000B7A1B">
      <w:pPr>
        <w:spacing w:after="0" w:line="240" w:lineRule="auto"/>
        <w:ind w:left="992"/>
        <w:jc w:val="both"/>
        <w:rPr>
          <w:rFonts w:ascii="Times New Roman" w:hAnsi="Times New Roman" w:cs="Times New Roman"/>
          <w:sz w:val="16"/>
          <w:szCs w:val="16"/>
          <w:lang w:val="en-GB"/>
        </w:rPr>
      </w:pPr>
    </w:p>
    <w:tbl>
      <w:tblPr>
        <w:tblStyle w:val="TableGrid"/>
        <w:tblW w:w="0" w:type="auto"/>
        <w:jc w:val="center"/>
        <w:tblLook w:val="04A0" w:firstRow="1" w:lastRow="0" w:firstColumn="1" w:lastColumn="0" w:noHBand="0" w:noVBand="1"/>
      </w:tblPr>
      <w:tblGrid>
        <w:gridCol w:w="4365"/>
        <w:gridCol w:w="4159"/>
      </w:tblGrid>
      <w:tr w:rsidR="000B7A1B" w:rsidRPr="000B7A1B" w14:paraId="21666D70" w14:textId="77777777" w:rsidTr="0054649A">
        <w:trPr>
          <w:jc w:val="center"/>
        </w:trPr>
        <w:tc>
          <w:tcPr>
            <w:tcW w:w="4540" w:type="dxa"/>
            <w:vAlign w:val="center"/>
          </w:tcPr>
          <w:p w14:paraId="269895FD" w14:textId="77777777" w:rsidR="000B7A1B" w:rsidRPr="000B7A1B" w:rsidRDefault="000B7A1B" w:rsidP="000B7A1B">
            <w:pPr>
              <w:jc w:val="both"/>
              <w:rPr>
                <w:rFonts w:ascii="Times New Roman" w:hAnsi="Times New Roman"/>
                <w:b/>
                <w:sz w:val="16"/>
                <w:szCs w:val="16"/>
              </w:rPr>
            </w:pPr>
            <w:r w:rsidRPr="000B7A1B">
              <w:rPr>
                <w:rFonts w:ascii="Times New Roman" w:hAnsi="Times New Roman"/>
                <w:b/>
                <w:sz w:val="16"/>
                <w:szCs w:val="16"/>
              </w:rPr>
              <w:t>Cvent, Inc:</w:t>
            </w:r>
          </w:p>
        </w:tc>
        <w:tc>
          <w:tcPr>
            <w:tcW w:w="4540" w:type="dxa"/>
            <w:vAlign w:val="center"/>
          </w:tcPr>
          <w:p w14:paraId="46BED10B" w14:textId="77777777" w:rsidR="000B7A1B" w:rsidRPr="000B7A1B" w:rsidRDefault="000B7A1B" w:rsidP="000B7A1B">
            <w:pPr>
              <w:jc w:val="both"/>
              <w:rPr>
                <w:rFonts w:ascii="Times New Roman" w:hAnsi="Times New Roman"/>
                <w:b/>
                <w:sz w:val="16"/>
                <w:szCs w:val="16"/>
              </w:rPr>
            </w:pPr>
            <w:r w:rsidRPr="000B7A1B">
              <w:rPr>
                <w:rFonts w:ascii="Times New Roman" w:hAnsi="Times New Roman"/>
                <w:b/>
                <w:sz w:val="16"/>
                <w:szCs w:val="16"/>
              </w:rPr>
              <w:t>Customer:</w:t>
            </w:r>
            <w:r w:rsidRPr="000B7A1B">
              <w:rPr>
                <w:rFonts w:ascii="Times New Roman" w:hAnsi="Times New Roman"/>
                <w:sz w:val="16"/>
                <w:szCs w:val="16"/>
              </w:rPr>
              <w:t xml:space="preserve"> </w:t>
            </w:r>
          </w:p>
        </w:tc>
      </w:tr>
      <w:tr w:rsidR="000B7A1B" w:rsidRPr="000B7A1B" w14:paraId="58F90D7A" w14:textId="77777777" w:rsidTr="0054649A">
        <w:trPr>
          <w:trHeight w:val="710"/>
          <w:jc w:val="center"/>
        </w:trPr>
        <w:tc>
          <w:tcPr>
            <w:tcW w:w="4540" w:type="dxa"/>
          </w:tcPr>
          <w:p w14:paraId="71811E60" w14:textId="77777777" w:rsidR="000B7A1B" w:rsidRPr="000B7A1B" w:rsidRDefault="000B7A1B" w:rsidP="000B7A1B">
            <w:pPr>
              <w:numPr>
                <w:ilvl w:val="1"/>
                <w:numId w:val="0"/>
              </w:numPr>
              <w:jc w:val="both"/>
              <w:rPr>
                <w:rFonts w:ascii="Times New Roman" w:hAnsi="Times New Roman"/>
                <w:sz w:val="16"/>
                <w:szCs w:val="16"/>
              </w:rPr>
            </w:pPr>
            <w:r w:rsidRPr="000B7A1B">
              <w:rPr>
                <w:rFonts w:ascii="Times New Roman" w:hAnsi="Times New Roman"/>
                <w:sz w:val="16"/>
                <w:szCs w:val="16"/>
              </w:rPr>
              <w:t xml:space="preserve">By: </w:t>
            </w:r>
            <w:r w:rsidRPr="000B7A1B">
              <w:rPr>
                <w:rFonts w:ascii="Times New Roman" w:hAnsi="Times New Roman"/>
                <w:noProof/>
                <w:sz w:val="16"/>
                <w:szCs w:val="16"/>
              </w:rPr>
              <w:drawing>
                <wp:inline distT="0" distB="0" distL="0" distR="0" wp14:anchorId="5C8F7048" wp14:editId="0DCF2AC9">
                  <wp:extent cx="1688465" cy="3271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8465" cy="327140"/>
                          </a:xfrm>
                          <a:prstGeom prst="rect">
                            <a:avLst/>
                          </a:prstGeom>
                          <a:noFill/>
                        </pic:spPr>
                      </pic:pic>
                    </a:graphicData>
                  </a:graphic>
                </wp:inline>
              </w:drawing>
            </w:r>
          </w:p>
        </w:tc>
        <w:tc>
          <w:tcPr>
            <w:tcW w:w="4540" w:type="dxa"/>
          </w:tcPr>
          <w:p w14:paraId="49BC544D" w14:textId="761DE76E" w:rsidR="00447CBE" w:rsidRDefault="000B7A1B" w:rsidP="000B7A1B">
            <w:pPr>
              <w:jc w:val="both"/>
              <w:rPr>
                <w:rFonts w:ascii="Times New Roman" w:hAnsi="Times New Roman"/>
                <w:sz w:val="16"/>
                <w:szCs w:val="16"/>
              </w:rPr>
            </w:pPr>
            <w:r w:rsidRPr="000B7A1B">
              <w:rPr>
                <w:rFonts w:ascii="Times New Roman" w:hAnsi="Times New Roman"/>
                <w:sz w:val="16"/>
                <w:szCs w:val="16"/>
              </w:rPr>
              <w:t>By:</w:t>
            </w:r>
            <w:r w:rsidR="00447CBE">
              <w:rPr>
                <w:rFonts w:ascii="Times New Roman" w:hAnsi="Times New Roman"/>
                <w:sz w:val="16"/>
                <w:szCs w:val="16"/>
              </w:rPr>
              <w:fldChar w:fldCharType="begin">
                <w:ffData>
                  <w:name w:val="Text3"/>
                  <w:enabled/>
                  <w:calcOnExit w:val="0"/>
                  <w:textInput/>
                </w:ffData>
              </w:fldChar>
            </w:r>
            <w:bookmarkStart w:id="4" w:name="Text3"/>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p>
          <w:p w14:paraId="01774E07" w14:textId="7C11E680" w:rsidR="000B7A1B" w:rsidRPr="000B7A1B" w:rsidRDefault="00447CBE" w:rsidP="00447CBE">
            <w:pPr>
              <w:jc w:val="both"/>
              <w:rPr>
                <w:rFonts w:ascii="Times New Roman" w:hAnsi="Times New Roman"/>
                <w:sz w:val="16"/>
                <w:szCs w:val="16"/>
              </w:rPr>
            </w:pPr>
            <w:r>
              <w:rPr>
                <w:rFonts w:ascii="Times New Roman" w:hAnsi="Times New Roman"/>
                <w:sz w:val="16"/>
                <w:szCs w:val="16"/>
              </w:rPr>
              <w:fldChar w:fldCharType="end"/>
            </w:r>
            <w:bookmarkEnd w:id="4"/>
            <w:r>
              <w:rPr>
                <w:rFonts w:ascii="Times New Roman" w:hAnsi="Times New Roman"/>
                <w:sz w:val="16"/>
                <w:szCs w:val="16"/>
              </w:rPr>
              <w:t xml:space="preserve">              </w:t>
            </w:r>
          </w:p>
        </w:tc>
      </w:tr>
      <w:tr w:rsidR="000B7A1B" w:rsidRPr="000B7A1B" w14:paraId="1819A6CC" w14:textId="77777777" w:rsidTr="0054649A">
        <w:trPr>
          <w:jc w:val="center"/>
        </w:trPr>
        <w:tc>
          <w:tcPr>
            <w:tcW w:w="4540" w:type="dxa"/>
          </w:tcPr>
          <w:p w14:paraId="6586DE3B" w14:textId="77777777"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Print Name: Edwin Y. Szeto</w:t>
            </w:r>
          </w:p>
        </w:tc>
        <w:tc>
          <w:tcPr>
            <w:tcW w:w="4540" w:type="dxa"/>
          </w:tcPr>
          <w:p w14:paraId="02086BBB" w14:textId="572AC033" w:rsidR="000B7A1B" w:rsidRPr="000B7A1B" w:rsidRDefault="000B7A1B" w:rsidP="00447CBE">
            <w:pPr>
              <w:jc w:val="both"/>
              <w:rPr>
                <w:rFonts w:ascii="Times New Roman" w:hAnsi="Times New Roman"/>
                <w:sz w:val="16"/>
                <w:szCs w:val="16"/>
              </w:rPr>
            </w:pPr>
            <w:r w:rsidRPr="000B7A1B">
              <w:rPr>
                <w:rFonts w:ascii="Times New Roman" w:hAnsi="Times New Roman"/>
                <w:sz w:val="16"/>
                <w:szCs w:val="16"/>
              </w:rPr>
              <w:t>Print Name:</w:t>
            </w:r>
            <w:r w:rsidR="00447CBE">
              <w:rPr>
                <w:rFonts w:ascii="Times New Roman" w:hAnsi="Times New Roman"/>
                <w:sz w:val="16"/>
                <w:szCs w:val="16"/>
              </w:rPr>
              <w:t xml:space="preserve">  </w:t>
            </w:r>
            <w:r w:rsidR="00447CBE">
              <w:rPr>
                <w:rFonts w:ascii="Times New Roman" w:hAnsi="Times New Roman"/>
                <w:sz w:val="16"/>
                <w:szCs w:val="16"/>
              </w:rPr>
              <w:fldChar w:fldCharType="begin">
                <w:ffData>
                  <w:name w:val="Text4"/>
                  <w:enabled/>
                  <w:calcOnExit w:val="0"/>
                  <w:textInput/>
                </w:ffData>
              </w:fldChar>
            </w:r>
            <w:bookmarkStart w:id="5" w:name="Text4"/>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fldChar w:fldCharType="end"/>
            </w:r>
            <w:bookmarkEnd w:id="5"/>
          </w:p>
        </w:tc>
      </w:tr>
      <w:tr w:rsidR="000B7A1B" w:rsidRPr="000B7A1B" w14:paraId="54F8DCE1" w14:textId="77777777" w:rsidTr="0054649A">
        <w:trPr>
          <w:jc w:val="center"/>
        </w:trPr>
        <w:tc>
          <w:tcPr>
            <w:tcW w:w="4540" w:type="dxa"/>
          </w:tcPr>
          <w:p w14:paraId="2B20ACFD" w14:textId="77777777"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Title: Vice President and Deputy General Counsel</w:t>
            </w:r>
          </w:p>
        </w:tc>
        <w:tc>
          <w:tcPr>
            <w:tcW w:w="4540" w:type="dxa"/>
          </w:tcPr>
          <w:p w14:paraId="1F993E54" w14:textId="2A75A57F"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Title:</w:t>
            </w:r>
            <w:r w:rsidR="00447CBE">
              <w:rPr>
                <w:rFonts w:ascii="Times New Roman" w:hAnsi="Times New Roman"/>
                <w:sz w:val="16"/>
                <w:szCs w:val="16"/>
              </w:rPr>
              <w:t xml:space="preserve">   </w:t>
            </w:r>
            <w:r w:rsidR="00447CBE">
              <w:rPr>
                <w:rFonts w:ascii="Times New Roman" w:hAnsi="Times New Roman"/>
                <w:sz w:val="16"/>
                <w:szCs w:val="16"/>
              </w:rPr>
              <w:fldChar w:fldCharType="begin">
                <w:ffData>
                  <w:name w:val="Text5"/>
                  <w:enabled/>
                  <w:calcOnExit w:val="0"/>
                  <w:textInput/>
                </w:ffData>
              </w:fldChar>
            </w:r>
            <w:bookmarkStart w:id="6" w:name="Text5"/>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sz w:val="16"/>
                <w:szCs w:val="16"/>
              </w:rPr>
              <w:fldChar w:fldCharType="end"/>
            </w:r>
            <w:bookmarkEnd w:id="6"/>
          </w:p>
        </w:tc>
      </w:tr>
      <w:tr w:rsidR="000B7A1B" w:rsidRPr="000B7A1B" w14:paraId="6F279E6F" w14:textId="77777777" w:rsidTr="0054649A">
        <w:trPr>
          <w:jc w:val="center"/>
        </w:trPr>
        <w:tc>
          <w:tcPr>
            <w:tcW w:w="4540" w:type="dxa"/>
          </w:tcPr>
          <w:p w14:paraId="6A3E7EB3" w14:textId="77777777"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Date: April 11, 2022</w:t>
            </w:r>
          </w:p>
        </w:tc>
        <w:tc>
          <w:tcPr>
            <w:tcW w:w="4540" w:type="dxa"/>
          </w:tcPr>
          <w:p w14:paraId="7A8F867F" w14:textId="78F0E0D4"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Date:</w:t>
            </w:r>
            <w:r w:rsidR="00447CBE">
              <w:rPr>
                <w:rFonts w:ascii="Times New Roman" w:hAnsi="Times New Roman"/>
                <w:sz w:val="16"/>
                <w:szCs w:val="16"/>
              </w:rPr>
              <w:t xml:space="preserve">  </w:t>
            </w:r>
            <w:r w:rsidR="00447CBE">
              <w:rPr>
                <w:rFonts w:ascii="Times New Roman" w:hAnsi="Times New Roman"/>
                <w:sz w:val="16"/>
                <w:szCs w:val="16"/>
              </w:rPr>
              <w:fldChar w:fldCharType="begin">
                <w:ffData>
                  <w:name w:val="Text6"/>
                  <w:enabled/>
                  <w:calcOnExit w:val="0"/>
                  <w:textInput/>
                </w:ffData>
              </w:fldChar>
            </w:r>
            <w:bookmarkStart w:id="7" w:name="Text6"/>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sz w:val="16"/>
                <w:szCs w:val="16"/>
              </w:rPr>
              <w:fldChar w:fldCharType="end"/>
            </w:r>
            <w:bookmarkEnd w:id="7"/>
          </w:p>
        </w:tc>
      </w:tr>
    </w:tbl>
    <w:p w14:paraId="5DF60288" w14:textId="77777777" w:rsidR="000B7A1B" w:rsidRPr="000B7A1B" w:rsidRDefault="000B7A1B" w:rsidP="000B7A1B">
      <w:pPr>
        <w:spacing w:after="0" w:line="240" w:lineRule="auto"/>
        <w:ind w:left="992" w:hanging="992"/>
        <w:jc w:val="both"/>
        <w:rPr>
          <w:rFonts w:ascii="Times New Roman" w:hAnsi="Times New Roman" w:cs="Times New Roman"/>
          <w:b/>
          <w:sz w:val="16"/>
          <w:szCs w:val="16"/>
          <w:lang w:val="en-GB"/>
        </w:rPr>
      </w:pPr>
      <w:r w:rsidRPr="000B7A1B">
        <w:rPr>
          <w:rFonts w:ascii="Times New Roman" w:hAnsi="Times New Roman" w:cs="Times New Roman"/>
          <w:b/>
          <w:sz w:val="16"/>
          <w:szCs w:val="16"/>
          <w:lang w:val="en-GB"/>
        </w:rPr>
        <w:br w:type="page"/>
      </w:r>
    </w:p>
    <w:p w14:paraId="41CBFF23" w14:textId="77777777" w:rsidR="000B7A1B" w:rsidRPr="000B7A1B" w:rsidRDefault="000B7A1B" w:rsidP="000B7A1B">
      <w:pPr>
        <w:spacing w:after="0" w:line="240" w:lineRule="auto"/>
        <w:ind w:left="992" w:hanging="992"/>
        <w:jc w:val="both"/>
        <w:rPr>
          <w:rFonts w:ascii="Arial" w:hAnsi="Arial" w:cs="Arial"/>
          <w:b/>
          <w:sz w:val="16"/>
          <w:szCs w:val="16"/>
          <w:lang w:val="en-GB"/>
        </w:rPr>
        <w:sectPr w:rsidR="000B7A1B" w:rsidRPr="000B7A1B" w:rsidSect="000708C8">
          <w:footerReference w:type="even" r:id="rId10"/>
          <w:footerReference w:type="default" r:id="rId11"/>
          <w:footerReference w:type="first" r:id="rId12"/>
          <w:pgSz w:w="12240" w:h="15840"/>
          <w:pgMar w:top="1980" w:right="1882" w:bottom="1572" w:left="1824" w:header="720" w:footer="744" w:gutter="0"/>
          <w:cols w:space="720"/>
        </w:sectPr>
      </w:pPr>
    </w:p>
    <w:p w14:paraId="4A07B27D" w14:textId="77777777" w:rsidR="000B7A1B" w:rsidRPr="000B7A1B" w:rsidRDefault="000B7A1B" w:rsidP="000B7A1B">
      <w:pPr>
        <w:spacing w:after="0" w:line="240" w:lineRule="auto"/>
        <w:jc w:val="center"/>
        <w:rPr>
          <w:rFonts w:ascii="Times New Roman" w:hAnsi="Times New Roman" w:cs="Times New Roman"/>
          <w:b/>
          <w:sz w:val="16"/>
          <w:szCs w:val="16"/>
          <w:lang w:val="en-GB"/>
        </w:rPr>
      </w:pPr>
      <w:r w:rsidRPr="000B7A1B">
        <w:rPr>
          <w:rFonts w:ascii="Times New Roman" w:hAnsi="Times New Roman" w:cs="Times New Roman"/>
          <w:b/>
          <w:sz w:val="16"/>
          <w:szCs w:val="16"/>
          <w:lang w:val="en-GB"/>
        </w:rPr>
        <w:lastRenderedPageBreak/>
        <w:t>ATTACHMENT 1: EU Standard Contractual Clauses</w:t>
      </w:r>
    </w:p>
    <w:p w14:paraId="245737E9" w14:textId="77777777" w:rsidR="000B7A1B" w:rsidRPr="000B7A1B" w:rsidRDefault="000B7A1B" w:rsidP="000B7A1B">
      <w:pPr>
        <w:spacing w:after="0" w:line="240" w:lineRule="auto"/>
        <w:jc w:val="center"/>
        <w:rPr>
          <w:rFonts w:ascii="Times New Roman" w:hAnsi="Times New Roman" w:cs="Times New Roman"/>
          <w:b/>
          <w:sz w:val="16"/>
          <w:szCs w:val="16"/>
          <w:lang w:val="en-GB"/>
        </w:rPr>
      </w:pPr>
    </w:p>
    <w:p w14:paraId="41089899"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COMMISSION IMPLEMENTNG DECISION (EU) 2021/914 of 4 June 2021 on</w:t>
      </w:r>
    </w:p>
    <w:p w14:paraId="01D2ECD8"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STANDARD CONTRACTUAL CLAUSES</w:t>
      </w:r>
    </w:p>
    <w:p w14:paraId="13D4C3FB"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for the transfer of personal data to third countries pursuant to Regulation (EU) 2016/679 of the European Parliament and of the Council</w:t>
      </w:r>
    </w:p>
    <w:p w14:paraId="646F3FC9"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w:t>
      </w:r>
    </w:p>
    <w:p w14:paraId="1AEEFD6E"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w:t>
      </w:r>
    </w:p>
    <w:p w14:paraId="5D7D1EA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w:t>
      </w:r>
    </w:p>
    <w:p w14:paraId="240DE7A1"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Purpose and scope</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47025C3" w14:textId="77777777" w:rsidTr="0054649A">
        <w:tc>
          <w:tcPr>
            <w:tcW w:w="0" w:type="auto"/>
            <w:shd w:val="clear" w:color="auto" w:fill="auto"/>
            <w:hideMark/>
          </w:tcPr>
          <w:p w14:paraId="447BC1B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AC4369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hyperlink r:id="rId13" w:anchor="ntr1-L_2021199EN.01003701-E0001"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1</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sz w:val="16"/>
                <w:szCs w:val="16"/>
                <w:lang w:val="en-GB"/>
              </w:rPr>
              <w:t> for the transfer of personal data to a third country.</w:t>
            </w:r>
          </w:p>
        </w:tc>
      </w:tr>
    </w:tbl>
    <w:p w14:paraId="4D6585E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4A4ED05" w14:textId="77777777" w:rsidTr="0054649A">
        <w:tc>
          <w:tcPr>
            <w:tcW w:w="0" w:type="auto"/>
            <w:shd w:val="clear" w:color="auto" w:fill="auto"/>
            <w:hideMark/>
          </w:tcPr>
          <w:p w14:paraId="4ACFB80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1DD2CF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w:t>
            </w:r>
          </w:p>
          <w:tbl>
            <w:tblPr>
              <w:tblW w:w="5000" w:type="pct"/>
              <w:tblCellMar>
                <w:left w:w="0" w:type="dxa"/>
                <w:right w:w="0" w:type="dxa"/>
              </w:tblCellMar>
              <w:tblLook w:val="04A0" w:firstRow="1" w:lastRow="0" w:firstColumn="1" w:lastColumn="0" w:noHBand="0" w:noVBand="1"/>
            </w:tblPr>
            <w:tblGrid>
              <w:gridCol w:w="332"/>
              <w:gridCol w:w="8571"/>
            </w:tblGrid>
            <w:tr w:rsidR="000B7A1B" w:rsidRPr="000B7A1B" w14:paraId="3B4A7C49" w14:textId="77777777" w:rsidTr="0054649A">
              <w:tc>
                <w:tcPr>
                  <w:tcW w:w="0" w:type="auto"/>
                  <w:shd w:val="clear" w:color="auto" w:fill="auto"/>
                  <w:hideMark/>
                </w:tcPr>
                <w:p w14:paraId="3B64241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0BC90ED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natural or legal person(s), public authority/ies, agency/ies or other body/ies (hereinafter ‘entity/ies’) transferring the personal data, as listed in Annex I.A (hereinafter each ‘data exporter’), and</w:t>
                  </w:r>
                </w:p>
              </w:tc>
            </w:tr>
          </w:tbl>
          <w:p w14:paraId="338EC8DF"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376"/>
              <w:gridCol w:w="8527"/>
            </w:tblGrid>
            <w:tr w:rsidR="000B7A1B" w:rsidRPr="000B7A1B" w14:paraId="1B9AE6E7" w14:textId="77777777" w:rsidTr="0054649A">
              <w:tc>
                <w:tcPr>
                  <w:tcW w:w="0" w:type="auto"/>
                  <w:shd w:val="clear" w:color="auto" w:fill="auto"/>
                  <w:hideMark/>
                </w:tcPr>
                <w:p w14:paraId="07BCF06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765E52C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entity/ies in a third country receiving the personal data from the data exporter, directly or indirectly via another entity also Party to these Clauses, as listed in Annex I.A (hereinafter each ‘data importer’)</w:t>
                  </w:r>
                </w:p>
              </w:tc>
            </w:tr>
          </w:tbl>
          <w:p w14:paraId="2098E56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have agreed to these standard contractual clauses (hereinafter: ‘Clauses’).</w:t>
            </w:r>
          </w:p>
        </w:tc>
      </w:tr>
    </w:tbl>
    <w:p w14:paraId="66259B6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522"/>
        <w:gridCol w:w="8748"/>
      </w:tblGrid>
      <w:tr w:rsidR="000B7A1B" w:rsidRPr="000B7A1B" w14:paraId="6A8BDA06" w14:textId="77777777" w:rsidTr="0054649A">
        <w:tc>
          <w:tcPr>
            <w:tcW w:w="0" w:type="auto"/>
            <w:shd w:val="clear" w:color="auto" w:fill="auto"/>
            <w:hideMark/>
          </w:tcPr>
          <w:p w14:paraId="4BC890C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6867A0A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apply with respect to the transfer of personal data as specified in Annex I.B.</w:t>
            </w:r>
          </w:p>
        </w:tc>
      </w:tr>
    </w:tbl>
    <w:p w14:paraId="1237F57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35"/>
        <w:gridCol w:w="8835"/>
      </w:tblGrid>
      <w:tr w:rsidR="000B7A1B" w:rsidRPr="000B7A1B" w14:paraId="342E4707" w14:textId="77777777" w:rsidTr="0054649A">
        <w:tc>
          <w:tcPr>
            <w:tcW w:w="0" w:type="auto"/>
            <w:shd w:val="clear" w:color="auto" w:fill="auto"/>
            <w:hideMark/>
          </w:tcPr>
          <w:p w14:paraId="07D0B58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6CD14AC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Appendix to these Clauses containing the Annexes referred to therein forms an integral part of these Clauses.</w:t>
            </w:r>
          </w:p>
        </w:tc>
      </w:tr>
    </w:tbl>
    <w:p w14:paraId="6E679AE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2</w:t>
      </w:r>
    </w:p>
    <w:p w14:paraId="17AE7513"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Effect and invariability of the Clauses</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0AAFECA" w14:textId="77777777" w:rsidTr="0054649A">
        <w:tc>
          <w:tcPr>
            <w:tcW w:w="0" w:type="auto"/>
            <w:shd w:val="clear" w:color="auto" w:fill="auto"/>
            <w:hideMark/>
          </w:tcPr>
          <w:p w14:paraId="1ACE15C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6F26056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0B7A1B">
              <w:rPr>
                <w:rFonts w:ascii="Times New Roman" w:eastAsia="Times New Roman" w:hAnsi="Times New Roman" w:cs="Times New Roman"/>
                <w:sz w:val="16"/>
                <w:szCs w:val="16"/>
                <w:lang w:val="en-GB"/>
              </w:rPr>
              <w:t>provided that</w:t>
            </w:r>
            <w:proofErr w:type="gramEnd"/>
            <w:r w:rsidRPr="000B7A1B">
              <w:rPr>
                <w:rFonts w:ascii="Times New Roman" w:eastAsia="Times New Roman" w:hAnsi="Times New Roman" w:cs="Times New Roman"/>
                <w:sz w:val="16"/>
                <w:szCs w:val="16"/>
                <w:lang w:val="en-GB"/>
              </w:rPr>
              <w:t xml:space="preserve"> they do not contradict, directly or indirectly, these Clauses or prejudice the fundamental rights or freedoms of data subjects.</w:t>
            </w:r>
          </w:p>
        </w:tc>
      </w:tr>
    </w:tbl>
    <w:p w14:paraId="5AFD5D4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91"/>
        <w:gridCol w:w="8879"/>
      </w:tblGrid>
      <w:tr w:rsidR="000B7A1B" w:rsidRPr="000B7A1B" w14:paraId="50968838" w14:textId="77777777" w:rsidTr="0054649A">
        <w:tc>
          <w:tcPr>
            <w:tcW w:w="0" w:type="auto"/>
            <w:shd w:val="clear" w:color="auto" w:fill="auto"/>
            <w:hideMark/>
          </w:tcPr>
          <w:p w14:paraId="44F05B1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53E343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are without prejudice to obligations to which the data exporter is subject by virtue of Regulation (EU) 2016/679.</w:t>
            </w:r>
          </w:p>
        </w:tc>
      </w:tr>
    </w:tbl>
    <w:p w14:paraId="39F4B41F"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3</w:t>
      </w:r>
    </w:p>
    <w:p w14:paraId="7BAED2B0" w14:textId="77777777" w:rsidR="000B7A1B" w:rsidRPr="000B7A1B" w:rsidRDefault="000B7A1B" w:rsidP="000B7A1B">
      <w:pPr>
        <w:shd w:val="clear" w:color="auto" w:fill="FFFFFF"/>
        <w:spacing w:after="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Third-party beneficiaries</w:t>
      </w:r>
    </w:p>
    <w:p w14:paraId="7CD5AA70" w14:textId="77777777" w:rsidR="000B7A1B" w:rsidRPr="000B7A1B" w:rsidRDefault="000B7A1B" w:rsidP="000B7A1B">
      <w:pPr>
        <w:shd w:val="clear" w:color="auto" w:fill="FFFFFF"/>
        <w:spacing w:after="0" w:line="240" w:lineRule="auto"/>
        <w:jc w:val="both"/>
        <w:rPr>
          <w:rFonts w:ascii="Times New Roman" w:eastAsia="Times New Roman" w:hAnsi="Times New Roman" w:cs="Times New Roman"/>
          <w:color w:val="000000"/>
          <w:sz w:val="16"/>
          <w:szCs w:val="16"/>
          <w:lang w:val="en-GB"/>
        </w:rPr>
      </w:pPr>
    </w:p>
    <w:p w14:paraId="2BF8784F" w14:textId="77777777" w:rsidR="000B7A1B" w:rsidRPr="000B7A1B" w:rsidRDefault="000B7A1B" w:rsidP="00917045">
      <w:pPr>
        <w:numPr>
          <w:ilvl w:val="0"/>
          <w:numId w:val="17"/>
        </w:numPr>
        <w:shd w:val="clear" w:color="auto" w:fill="FFFFFF"/>
        <w:spacing w:after="0" w:line="240" w:lineRule="auto"/>
        <w:ind w:left="540"/>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Data subjects may invoke and enforce these Clauses, as third-party beneficiaries, against the data exporter and/or data importer, with the following exceptions:</w:t>
      </w:r>
    </w:p>
    <w:p w14:paraId="762C3EA5" w14:textId="77777777" w:rsidR="000B7A1B" w:rsidRPr="000B7A1B" w:rsidRDefault="000B7A1B" w:rsidP="000B7A1B">
      <w:pPr>
        <w:shd w:val="clear" w:color="auto" w:fill="FFFFFF"/>
        <w:spacing w:after="0" w:line="240" w:lineRule="auto"/>
        <w:ind w:firstLine="540"/>
        <w:jc w:val="both"/>
        <w:rPr>
          <w:rFonts w:ascii="Times New Roman" w:eastAsia="Times New Roman" w:hAnsi="Times New Roman" w:cs="Times New Roman"/>
          <w:color w:val="000000"/>
          <w:sz w:val="16"/>
          <w:szCs w:val="16"/>
          <w:lang w:val="en-GB"/>
        </w:rPr>
      </w:pPr>
    </w:p>
    <w:p w14:paraId="1A6C38E1"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Clause 1, Clause 2, Clause 3, Clause 6, Clause </w:t>
      </w:r>
      <w:proofErr w:type="gramStart"/>
      <w:r w:rsidRPr="000B7A1B">
        <w:rPr>
          <w:rFonts w:ascii="Times New Roman" w:eastAsia="Times New Roman" w:hAnsi="Times New Roman" w:cs="Times New Roman"/>
          <w:color w:val="000000"/>
          <w:sz w:val="16"/>
          <w:szCs w:val="16"/>
          <w:lang w:val="en-GB"/>
        </w:rPr>
        <w:t>7;</w:t>
      </w:r>
      <w:proofErr w:type="gramEnd"/>
    </w:p>
    <w:p w14:paraId="44CEC9CF"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Clause 8 – Module One: Clause 8.5 (e) and Clause 8.9(b); Module Two: Clause 8.1(b), 8.9(a), (c), (d) and (e); Module Three: Clause 8.1(a), (c) and (d) and Clause 8.9(a), (c), (d), (e), (f) and (g); Module Four: Clause 8.1 (b) and Clause </w:t>
      </w:r>
      <w:proofErr w:type="gramStart"/>
      <w:r w:rsidRPr="000B7A1B">
        <w:rPr>
          <w:rFonts w:ascii="Times New Roman" w:eastAsia="Times New Roman" w:hAnsi="Times New Roman" w:cs="Times New Roman"/>
          <w:color w:val="000000"/>
          <w:sz w:val="16"/>
          <w:szCs w:val="16"/>
          <w:lang w:val="en-GB"/>
        </w:rPr>
        <w:t>8.3(b);</w:t>
      </w:r>
      <w:proofErr w:type="gramEnd"/>
    </w:p>
    <w:p w14:paraId="4C20DB45"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9 – Module Two: Clause 9(a), (c), (d) and (e); Module Three: Clause 9(a), (c), (d) and (e</w:t>
      </w:r>
      <w:proofErr w:type="gramStart"/>
      <w:r w:rsidRPr="000B7A1B">
        <w:rPr>
          <w:rFonts w:ascii="Times New Roman" w:eastAsia="Times New Roman" w:hAnsi="Times New Roman" w:cs="Times New Roman"/>
          <w:color w:val="000000"/>
          <w:sz w:val="16"/>
          <w:szCs w:val="16"/>
          <w:lang w:val="en-GB"/>
        </w:rPr>
        <w:t>);</w:t>
      </w:r>
      <w:proofErr w:type="gramEnd"/>
    </w:p>
    <w:p w14:paraId="2388D470"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12 – Module One: Clause 12(a) and (d); Modules Two and Three: Clause 12(a), (d) and (f</w:t>
      </w:r>
      <w:proofErr w:type="gramStart"/>
      <w:r w:rsidRPr="000B7A1B">
        <w:rPr>
          <w:rFonts w:ascii="Times New Roman" w:eastAsia="Times New Roman" w:hAnsi="Times New Roman" w:cs="Times New Roman"/>
          <w:color w:val="000000"/>
          <w:sz w:val="16"/>
          <w:szCs w:val="16"/>
          <w:lang w:val="en-GB"/>
        </w:rPr>
        <w:t>);</w:t>
      </w:r>
      <w:proofErr w:type="gramEnd"/>
    </w:p>
    <w:p w14:paraId="534A9584"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Clause </w:t>
      </w:r>
      <w:proofErr w:type="gramStart"/>
      <w:r w:rsidRPr="000B7A1B">
        <w:rPr>
          <w:rFonts w:ascii="Times New Roman" w:eastAsia="Times New Roman" w:hAnsi="Times New Roman" w:cs="Times New Roman"/>
          <w:color w:val="000000"/>
          <w:sz w:val="16"/>
          <w:szCs w:val="16"/>
          <w:lang w:val="en-GB"/>
        </w:rPr>
        <w:t>13;</w:t>
      </w:r>
      <w:proofErr w:type="gramEnd"/>
    </w:p>
    <w:p w14:paraId="6F56D812"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15.1(c), (d) and (e</w:t>
      </w:r>
      <w:proofErr w:type="gramStart"/>
      <w:r w:rsidRPr="000B7A1B">
        <w:rPr>
          <w:rFonts w:ascii="Times New Roman" w:eastAsia="Times New Roman" w:hAnsi="Times New Roman" w:cs="Times New Roman"/>
          <w:color w:val="000000"/>
          <w:sz w:val="16"/>
          <w:szCs w:val="16"/>
          <w:lang w:val="en-GB"/>
        </w:rPr>
        <w:t>);</w:t>
      </w:r>
      <w:proofErr w:type="gramEnd"/>
    </w:p>
    <w:p w14:paraId="71AC12B0"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lastRenderedPageBreak/>
        <w:t xml:space="preserve">Clause </w:t>
      </w:r>
      <w:proofErr w:type="gramStart"/>
      <w:r w:rsidRPr="000B7A1B">
        <w:rPr>
          <w:rFonts w:ascii="Times New Roman" w:eastAsia="Times New Roman" w:hAnsi="Times New Roman" w:cs="Times New Roman"/>
          <w:color w:val="000000"/>
          <w:sz w:val="16"/>
          <w:szCs w:val="16"/>
          <w:lang w:val="en-GB"/>
        </w:rPr>
        <w:t>16(e);</w:t>
      </w:r>
      <w:proofErr w:type="gramEnd"/>
    </w:p>
    <w:p w14:paraId="7155D65B"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18 – Modules One, Two and Three: Clause 18(a) and (b); Module Four: Clause 18.</w:t>
      </w:r>
    </w:p>
    <w:p w14:paraId="050D5AF9" w14:textId="77777777" w:rsidR="000B7A1B" w:rsidRPr="000B7A1B" w:rsidRDefault="000B7A1B" w:rsidP="000B7A1B">
      <w:pPr>
        <w:shd w:val="clear" w:color="auto" w:fill="FFFFFF"/>
        <w:spacing w:after="0" w:line="240" w:lineRule="auto"/>
        <w:jc w:val="both"/>
        <w:rPr>
          <w:rFonts w:ascii="Times New Roman" w:eastAsia="Times New Roman" w:hAnsi="Times New Roman" w:cs="Times New Roman"/>
          <w:color w:val="000000"/>
          <w:sz w:val="16"/>
          <w:szCs w:val="16"/>
          <w:lang w:val="en-GB"/>
        </w:rPr>
      </w:pPr>
    </w:p>
    <w:p w14:paraId="6C67A3F3" w14:textId="77777777" w:rsidR="000B7A1B" w:rsidRPr="000B7A1B" w:rsidRDefault="000B7A1B" w:rsidP="00917045">
      <w:pPr>
        <w:numPr>
          <w:ilvl w:val="0"/>
          <w:numId w:val="17"/>
        </w:numPr>
        <w:shd w:val="clear" w:color="auto" w:fill="FFFFFF"/>
        <w:spacing w:after="0" w:line="240" w:lineRule="auto"/>
        <w:ind w:left="540"/>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Paragraph (a) is without prejudice to rights of data subjects under Regulation (EU) 2016/679.</w:t>
      </w:r>
    </w:p>
    <w:p w14:paraId="5F098288"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4</w:t>
      </w:r>
    </w:p>
    <w:p w14:paraId="0AE192EC"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Interpretation</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6126CE20" w14:textId="77777777" w:rsidTr="0054649A">
        <w:tc>
          <w:tcPr>
            <w:tcW w:w="0" w:type="auto"/>
            <w:shd w:val="clear" w:color="auto" w:fill="auto"/>
            <w:hideMark/>
          </w:tcPr>
          <w:p w14:paraId="0ACE105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1E55EB0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these Clauses use terms that are defined in Regulation (EU) 2016/679, those terms shall have the same meaning as in that Regulation.</w:t>
            </w:r>
          </w:p>
        </w:tc>
      </w:tr>
    </w:tbl>
    <w:p w14:paraId="28BE864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77"/>
        <w:gridCol w:w="8793"/>
      </w:tblGrid>
      <w:tr w:rsidR="000B7A1B" w:rsidRPr="000B7A1B" w14:paraId="245CBA20" w14:textId="77777777" w:rsidTr="0054649A">
        <w:tc>
          <w:tcPr>
            <w:tcW w:w="0" w:type="auto"/>
            <w:shd w:val="clear" w:color="auto" w:fill="auto"/>
            <w:hideMark/>
          </w:tcPr>
          <w:p w14:paraId="3031434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6CEEE88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shall be read and interpreted in the light of the provisions of Regulation (EU) 2016/679.</w:t>
            </w:r>
          </w:p>
        </w:tc>
      </w:tr>
    </w:tbl>
    <w:p w14:paraId="145D20F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70"/>
        <w:gridCol w:w="8900"/>
      </w:tblGrid>
      <w:tr w:rsidR="000B7A1B" w:rsidRPr="000B7A1B" w14:paraId="7CFB4C17" w14:textId="77777777" w:rsidTr="0054649A">
        <w:tc>
          <w:tcPr>
            <w:tcW w:w="0" w:type="auto"/>
            <w:shd w:val="clear" w:color="auto" w:fill="auto"/>
            <w:hideMark/>
          </w:tcPr>
          <w:p w14:paraId="53C748B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1F3CDD1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shall not be interpreted in a way that conflicts with rights and obligations provided for in Regulation (EU) 2016/679.</w:t>
            </w:r>
          </w:p>
        </w:tc>
      </w:tr>
    </w:tbl>
    <w:p w14:paraId="4FA3152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5</w:t>
      </w:r>
    </w:p>
    <w:p w14:paraId="3E6F4A51"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Hierarchy</w:t>
      </w:r>
    </w:p>
    <w:p w14:paraId="4E82D46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In the event of a contradiction between these Clauses and the provisions of related agreements between the Parties, existing at the time these Clauses are agreed or </w:t>
      </w:r>
      <w:proofErr w:type="gramStart"/>
      <w:r w:rsidRPr="000B7A1B">
        <w:rPr>
          <w:rFonts w:ascii="Times New Roman" w:eastAsia="Times New Roman" w:hAnsi="Times New Roman" w:cs="Times New Roman"/>
          <w:color w:val="000000"/>
          <w:sz w:val="16"/>
          <w:szCs w:val="16"/>
          <w:lang w:val="en-GB"/>
        </w:rPr>
        <w:t>entered into</w:t>
      </w:r>
      <w:proofErr w:type="gramEnd"/>
      <w:r w:rsidRPr="000B7A1B">
        <w:rPr>
          <w:rFonts w:ascii="Times New Roman" w:eastAsia="Times New Roman" w:hAnsi="Times New Roman" w:cs="Times New Roman"/>
          <w:color w:val="000000"/>
          <w:sz w:val="16"/>
          <w:szCs w:val="16"/>
          <w:lang w:val="en-GB"/>
        </w:rPr>
        <w:t xml:space="preserve"> thereafter, these Clauses shall prevail.</w:t>
      </w:r>
    </w:p>
    <w:p w14:paraId="0C1B3821"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6</w:t>
      </w:r>
    </w:p>
    <w:p w14:paraId="0B45131F"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Description of the transfer(s)</w:t>
      </w:r>
    </w:p>
    <w:p w14:paraId="73FB4A8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details of the transfer(s), and in particular the categories of personal data that are transferred and the purpose(s) for which they are transferred, are specified in Annex I.B.</w:t>
      </w:r>
    </w:p>
    <w:p w14:paraId="0A66F4B6"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7 – Optional</w:t>
      </w:r>
    </w:p>
    <w:p w14:paraId="2AC6B1AD"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Docking clause</w:t>
      </w:r>
    </w:p>
    <w:p w14:paraId="239AFF3C" w14:textId="77777777" w:rsidR="000B7A1B" w:rsidRPr="000B7A1B" w:rsidRDefault="000B7A1B" w:rsidP="000B7A1B">
      <w:pPr>
        <w:shd w:val="clear" w:color="auto" w:fill="FFFFFF"/>
        <w:spacing w:before="240" w:after="120" w:line="240" w:lineRule="auto"/>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sz w:val="16"/>
          <w:szCs w:val="16"/>
          <w:lang w:val="en-GB"/>
        </w:rPr>
        <w:t>[Intentionally Omitted]</w:t>
      </w:r>
    </w:p>
    <w:p w14:paraId="0C3E5BEB"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II – OBLIGATIONS OF THE PARTIES</w:t>
      </w:r>
    </w:p>
    <w:p w14:paraId="4F5905E9"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8</w:t>
      </w:r>
    </w:p>
    <w:p w14:paraId="254496AF"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Data protection safeguards</w:t>
      </w:r>
    </w:p>
    <w:p w14:paraId="535585A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data exporter warrants that it has used reasonable efforts to determine that the data importer is able, through the implementation of appropriate technical and organisational measures, to satisfy its obligations under these Clauses.</w:t>
      </w:r>
    </w:p>
    <w:p w14:paraId="12F5157D"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5F460A44"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8.1   Instructions</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3B263D4" w14:textId="77777777" w:rsidTr="0054649A">
        <w:tc>
          <w:tcPr>
            <w:tcW w:w="0" w:type="auto"/>
            <w:shd w:val="clear" w:color="auto" w:fill="auto"/>
            <w:hideMark/>
          </w:tcPr>
          <w:p w14:paraId="1D04B2D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84D974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process the personal data only on documented instructions from the data exporter. The data exporter may give such instructions throughout the duration of the contract.</w:t>
            </w:r>
          </w:p>
        </w:tc>
      </w:tr>
    </w:tbl>
    <w:p w14:paraId="5DAC8359"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74"/>
        <w:gridCol w:w="8796"/>
      </w:tblGrid>
      <w:tr w:rsidR="000B7A1B" w:rsidRPr="000B7A1B" w14:paraId="187EDECC" w14:textId="77777777" w:rsidTr="0054649A">
        <w:tc>
          <w:tcPr>
            <w:tcW w:w="0" w:type="auto"/>
            <w:shd w:val="clear" w:color="auto" w:fill="auto"/>
            <w:hideMark/>
          </w:tcPr>
          <w:p w14:paraId="3E37C42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7C6DB9D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immediately inform the data exporter if it is unable to follow those instructions.</w:t>
            </w:r>
          </w:p>
        </w:tc>
      </w:tr>
    </w:tbl>
    <w:p w14:paraId="5635F76C"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8.2   Purpose limitation</w:t>
      </w:r>
    </w:p>
    <w:p w14:paraId="6F61D6B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data importer shall process the personal data only for the specific purpose(s) of the transfer, as set out in Annex I.B, unless on further instructions from the data exporter.</w:t>
      </w:r>
    </w:p>
    <w:p w14:paraId="17779E60"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8.3   Transparency</w:t>
      </w:r>
    </w:p>
    <w:p w14:paraId="630385A4"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w:t>
      </w:r>
      <w:r w:rsidRPr="000B7A1B">
        <w:rPr>
          <w:rFonts w:ascii="Times New Roman" w:eastAsia="Times New Roman" w:hAnsi="Times New Roman" w:cs="Times New Roman"/>
          <w:color w:val="000000"/>
          <w:sz w:val="16"/>
          <w:szCs w:val="16"/>
          <w:lang w:val="en-GB"/>
        </w:rPr>
        <w:lastRenderedPageBreak/>
        <w:t xml:space="preserve">meaningful summary where the data subject would otherwise not be able to understand </w:t>
      </w:r>
      <w:proofErr w:type="gramStart"/>
      <w:r w:rsidRPr="000B7A1B">
        <w:rPr>
          <w:rFonts w:ascii="Times New Roman" w:eastAsia="Times New Roman" w:hAnsi="Times New Roman" w:cs="Times New Roman"/>
          <w:color w:val="000000"/>
          <w:sz w:val="16"/>
          <w:szCs w:val="16"/>
          <w:lang w:val="en-GB"/>
        </w:rPr>
        <w:t>the its</w:t>
      </w:r>
      <w:proofErr w:type="gramEnd"/>
      <w:r w:rsidRPr="000B7A1B">
        <w:rPr>
          <w:rFonts w:ascii="Times New Roman" w:eastAsia="Times New Roman" w:hAnsi="Times New Roman" w:cs="Times New Roman"/>
          <w:color w:val="000000"/>
          <w:sz w:val="16"/>
          <w:szCs w:val="16"/>
          <w:lang w:val="en-GB"/>
        </w:rPr>
        <w:t xml:space="preserv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192ACA55"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8.4   Accuracy</w:t>
      </w:r>
    </w:p>
    <w:p w14:paraId="19A0EBF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D89D280"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8.5   Duration of processing and erasure or return of data</w:t>
      </w:r>
    </w:p>
    <w:p w14:paraId="3B5D5BEE"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sidRPr="000B7A1B">
        <w:rPr>
          <w:rFonts w:ascii="Times New Roman" w:eastAsia="Times New Roman" w:hAnsi="Times New Roman" w:cs="Times New Roman"/>
          <w:color w:val="000000"/>
          <w:sz w:val="16"/>
          <w:szCs w:val="16"/>
          <w:lang w:val="en-GB"/>
        </w:rPr>
        <w:t>in particular the</w:t>
      </w:r>
      <w:proofErr w:type="gramEnd"/>
      <w:r w:rsidRPr="000B7A1B">
        <w:rPr>
          <w:rFonts w:ascii="Times New Roman" w:eastAsia="Times New Roman" w:hAnsi="Times New Roman" w:cs="Times New Roman"/>
          <w:color w:val="000000"/>
          <w:sz w:val="16"/>
          <w:szCs w:val="16"/>
          <w:lang w:val="en-GB"/>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p>
    <w:p w14:paraId="079C94BA"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8.6   Security of processing</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27137F6" w14:textId="77777777" w:rsidTr="0054649A">
        <w:tc>
          <w:tcPr>
            <w:tcW w:w="0" w:type="auto"/>
            <w:shd w:val="clear" w:color="auto" w:fill="auto"/>
            <w:hideMark/>
          </w:tcPr>
          <w:p w14:paraId="1D02603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7F30E94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w:t>
            </w:r>
            <w:proofErr w:type="gramStart"/>
            <w:r w:rsidRPr="000B7A1B">
              <w:rPr>
                <w:rFonts w:ascii="Times New Roman" w:eastAsia="Times New Roman" w:hAnsi="Times New Roman" w:cs="Times New Roman"/>
                <w:sz w:val="16"/>
                <w:szCs w:val="16"/>
                <w:lang w:val="en-GB"/>
              </w:rPr>
              <w:t>in particular consider</w:t>
            </w:r>
            <w:proofErr w:type="gramEnd"/>
            <w:r w:rsidRPr="000B7A1B">
              <w:rPr>
                <w:rFonts w:ascii="Times New Roman" w:eastAsia="Times New Roman" w:hAnsi="Times New Roman" w:cs="Times New Roman"/>
                <w:sz w:val="16"/>
                <w:szCs w:val="16"/>
                <w:lang w:val="en-GB"/>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tc>
      </w:tr>
    </w:tbl>
    <w:p w14:paraId="1C7C87A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5C332B8A" w14:textId="77777777" w:rsidTr="0054649A">
        <w:tc>
          <w:tcPr>
            <w:tcW w:w="0" w:type="auto"/>
            <w:shd w:val="clear" w:color="auto" w:fill="auto"/>
            <w:hideMark/>
          </w:tcPr>
          <w:p w14:paraId="706CB66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159DA79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tc>
      </w:tr>
    </w:tbl>
    <w:p w14:paraId="321A2540"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E8251CD" w14:textId="77777777" w:rsidTr="0054649A">
        <w:tc>
          <w:tcPr>
            <w:tcW w:w="0" w:type="auto"/>
            <w:shd w:val="clear" w:color="auto" w:fill="auto"/>
            <w:hideMark/>
          </w:tcPr>
          <w:p w14:paraId="3013D31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039677E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tc>
      </w:tr>
    </w:tbl>
    <w:p w14:paraId="2888F57F"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733AD9A" w14:textId="77777777" w:rsidTr="0054649A">
        <w:tc>
          <w:tcPr>
            <w:tcW w:w="0" w:type="auto"/>
            <w:shd w:val="clear" w:color="auto" w:fill="auto"/>
            <w:hideMark/>
          </w:tcPr>
          <w:p w14:paraId="293EE2A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6C8AE30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shall cooperate with and assist the data exporter to enable the data exporter to comply with its obligations under Regulation (EU) 2016/679, </w:t>
            </w:r>
            <w:proofErr w:type="gramStart"/>
            <w:r w:rsidRPr="000B7A1B">
              <w:rPr>
                <w:rFonts w:ascii="Times New Roman" w:eastAsia="Times New Roman" w:hAnsi="Times New Roman" w:cs="Times New Roman"/>
                <w:sz w:val="16"/>
                <w:szCs w:val="16"/>
                <w:lang w:val="en-GB"/>
              </w:rPr>
              <w:t>in particular to</w:t>
            </w:r>
            <w:proofErr w:type="gramEnd"/>
            <w:r w:rsidRPr="000B7A1B">
              <w:rPr>
                <w:rFonts w:ascii="Times New Roman" w:eastAsia="Times New Roman" w:hAnsi="Times New Roman" w:cs="Times New Roman"/>
                <w:sz w:val="16"/>
                <w:szCs w:val="16"/>
                <w:lang w:val="en-GB"/>
              </w:rPr>
              <w:t xml:space="preserve"> notify the competent supervisory authority and the affected data subjects, taking into account the nature of processing and the information available to the data importer.</w:t>
            </w:r>
          </w:p>
        </w:tc>
      </w:tr>
    </w:tbl>
    <w:p w14:paraId="0497B9C0"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8.7   Sensitive data</w:t>
      </w:r>
    </w:p>
    <w:p w14:paraId="4BBDB532"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47DD0CB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8.8   Onward transfers</w:t>
      </w:r>
    </w:p>
    <w:p w14:paraId="063DA24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data importer shall only disclose the personal data to a third party on documented instructions from the data exporter. In addition, the data may only be disclosed to a third party located outside the European Union </w:t>
      </w:r>
      <w:hyperlink r:id="rId14" w:anchor="ntr4-L_2021199EN.01003701-E0004"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4</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color w:val="000000"/>
          <w:sz w:val="16"/>
          <w:szCs w:val="16"/>
          <w:lang w:val="en-GB"/>
        </w:rPr>
        <w:t> (in the same country as the data importer or in another third country, hereinafter ‘onward transfer’) if the third party is or agrees to be bound by these Clauses, under the appropriate Module, or if:</w:t>
      </w:r>
    </w:p>
    <w:tbl>
      <w:tblPr>
        <w:tblW w:w="5000" w:type="pct"/>
        <w:tblCellMar>
          <w:left w:w="0" w:type="dxa"/>
          <w:right w:w="0" w:type="dxa"/>
        </w:tblCellMar>
        <w:tblLook w:val="04A0" w:firstRow="1" w:lastRow="0" w:firstColumn="1" w:lastColumn="0" w:noHBand="0" w:noVBand="1"/>
      </w:tblPr>
      <w:tblGrid>
        <w:gridCol w:w="332"/>
        <w:gridCol w:w="8938"/>
      </w:tblGrid>
      <w:tr w:rsidR="000B7A1B" w:rsidRPr="000B7A1B" w14:paraId="3A7B2700" w14:textId="77777777" w:rsidTr="0054649A">
        <w:tc>
          <w:tcPr>
            <w:tcW w:w="0" w:type="auto"/>
            <w:shd w:val="clear" w:color="auto" w:fill="auto"/>
            <w:hideMark/>
          </w:tcPr>
          <w:p w14:paraId="0586159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03F71F5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onward transfer is to a country benefitting from an adequacy decision pursuant to Article 45 of Regulation (EU) 2016/679 that covers the onward transfer;</w:t>
            </w:r>
          </w:p>
        </w:tc>
      </w:tr>
    </w:tbl>
    <w:p w14:paraId="2193FA4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76"/>
        <w:gridCol w:w="8894"/>
      </w:tblGrid>
      <w:tr w:rsidR="000B7A1B" w:rsidRPr="000B7A1B" w14:paraId="62061F35" w14:textId="77777777" w:rsidTr="0054649A">
        <w:tc>
          <w:tcPr>
            <w:tcW w:w="0" w:type="auto"/>
            <w:shd w:val="clear" w:color="auto" w:fill="auto"/>
            <w:hideMark/>
          </w:tcPr>
          <w:p w14:paraId="44F5300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lastRenderedPageBreak/>
              <w:t>(ii)</w:t>
            </w:r>
          </w:p>
        </w:tc>
        <w:tc>
          <w:tcPr>
            <w:tcW w:w="0" w:type="auto"/>
            <w:shd w:val="clear" w:color="auto" w:fill="auto"/>
            <w:hideMark/>
          </w:tcPr>
          <w:p w14:paraId="0D3FC21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third party otherwise ensures appropriate safeguards pursuant to Articles 46 or 47 Regulation of (EU) 2016/679 with respect to the processing in question;</w:t>
            </w:r>
          </w:p>
        </w:tc>
      </w:tr>
    </w:tbl>
    <w:p w14:paraId="1FE8243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20"/>
        <w:gridCol w:w="8850"/>
      </w:tblGrid>
      <w:tr w:rsidR="000B7A1B" w:rsidRPr="000B7A1B" w14:paraId="4B70ADE2" w14:textId="77777777" w:rsidTr="0054649A">
        <w:tc>
          <w:tcPr>
            <w:tcW w:w="0" w:type="auto"/>
            <w:shd w:val="clear" w:color="auto" w:fill="auto"/>
            <w:hideMark/>
          </w:tcPr>
          <w:p w14:paraId="27C17A3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(iii)</w:t>
            </w:r>
          </w:p>
        </w:tc>
        <w:tc>
          <w:tcPr>
            <w:tcW w:w="0" w:type="auto"/>
            <w:shd w:val="clear" w:color="auto" w:fill="auto"/>
            <w:hideMark/>
          </w:tcPr>
          <w:p w14:paraId="447B5B7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onward transfer is necessary for the establishment, exercise or defence of legal claims in the context of specific administrative, regulatory or judicial proceedings; or</w:t>
            </w:r>
          </w:p>
        </w:tc>
      </w:tr>
    </w:tbl>
    <w:p w14:paraId="3CCBA625"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75"/>
        <w:gridCol w:w="8795"/>
      </w:tblGrid>
      <w:tr w:rsidR="000B7A1B" w:rsidRPr="000B7A1B" w14:paraId="776301B0" w14:textId="77777777" w:rsidTr="0054649A">
        <w:tc>
          <w:tcPr>
            <w:tcW w:w="0" w:type="auto"/>
            <w:shd w:val="clear" w:color="auto" w:fill="auto"/>
            <w:hideMark/>
          </w:tcPr>
          <w:p w14:paraId="6BB1BA9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(iv)</w:t>
            </w:r>
          </w:p>
        </w:tc>
        <w:tc>
          <w:tcPr>
            <w:tcW w:w="0" w:type="auto"/>
            <w:shd w:val="clear" w:color="auto" w:fill="auto"/>
            <w:hideMark/>
          </w:tcPr>
          <w:p w14:paraId="1C51562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onward transfer is necessary in order to protect the vital interests of the data subject or of another natural person.</w:t>
            </w:r>
          </w:p>
        </w:tc>
      </w:tr>
    </w:tbl>
    <w:p w14:paraId="2C44AFE1"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Any onward transfer is subject to compliance by the data importer with all the other safeguards under these Clauses, in particular purpose limitation.</w:t>
      </w:r>
    </w:p>
    <w:p w14:paraId="621C16CA"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8.9   Documentation and compliance</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46FED2E" w14:textId="77777777" w:rsidTr="0054649A">
        <w:tc>
          <w:tcPr>
            <w:tcW w:w="0" w:type="auto"/>
            <w:shd w:val="clear" w:color="auto" w:fill="auto"/>
            <w:hideMark/>
          </w:tcPr>
          <w:p w14:paraId="6AA32B3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10BE6D3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promptly and adequately deal with enquiries from the data exporter that relate to the processing under these Clauses.</w:t>
            </w:r>
          </w:p>
        </w:tc>
      </w:tr>
    </w:tbl>
    <w:p w14:paraId="04EAEBA2"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0E8AF997" w14:textId="77777777" w:rsidTr="0054649A">
        <w:tc>
          <w:tcPr>
            <w:tcW w:w="0" w:type="auto"/>
            <w:shd w:val="clear" w:color="auto" w:fill="auto"/>
            <w:hideMark/>
          </w:tcPr>
          <w:p w14:paraId="435E6B4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18479E2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shall be able to demonstrate compliance with these Clauses. In particular, the data importer shall keep appropriate documentation on the processing activities carried out on behalf of the data exporter.</w:t>
            </w:r>
          </w:p>
        </w:tc>
      </w:tr>
    </w:tbl>
    <w:p w14:paraId="0495CAE9"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4B62686" w14:textId="77777777" w:rsidTr="0054649A">
        <w:tc>
          <w:tcPr>
            <w:tcW w:w="0" w:type="auto"/>
            <w:shd w:val="clear" w:color="auto" w:fill="auto"/>
            <w:hideMark/>
          </w:tcPr>
          <w:p w14:paraId="0195F0D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7045115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sidRPr="000B7A1B">
              <w:rPr>
                <w:rFonts w:ascii="Times New Roman" w:eastAsia="Times New Roman" w:hAnsi="Times New Roman" w:cs="Times New Roman"/>
                <w:sz w:val="16"/>
                <w:szCs w:val="16"/>
                <w:lang w:val="en-GB"/>
              </w:rPr>
              <w:t>take into account</w:t>
            </w:r>
            <w:proofErr w:type="gramEnd"/>
            <w:r w:rsidRPr="000B7A1B">
              <w:rPr>
                <w:rFonts w:ascii="Times New Roman" w:eastAsia="Times New Roman" w:hAnsi="Times New Roman" w:cs="Times New Roman"/>
                <w:sz w:val="16"/>
                <w:szCs w:val="16"/>
                <w:lang w:val="en-GB"/>
              </w:rPr>
              <w:t xml:space="preserve"> relevant certifications held by the data importer.</w:t>
            </w:r>
          </w:p>
        </w:tc>
      </w:tr>
    </w:tbl>
    <w:p w14:paraId="7AF09674"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625E6B02" w14:textId="77777777" w:rsidTr="0054649A">
        <w:tc>
          <w:tcPr>
            <w:tcW w:w="0" w:type="auto"/>
            <w:shd w:val="clear" w:color="auto" w:fill="auto"/>
            <w:hideMark/>
          </w:tcPr>
          <w:p w14:paraId="7AC8CDA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0487A1F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exporter may choose to conduct the audit by itself or mandate an independent auditor. Audits may include inspections at the premises or physical facilities of the data importer and shall, where appropriate, be carried out with reasonable notice.</w:t>
            </w:r>
          </w:p>
        </w:tc>
      </w:tr>
    </w:tbl>
    <w:p w14:paraId="5B3C0E7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6DAEE78F" w14:textId="77777777" w:rsidTr="0054649A">
        <w:tc>
          <w:tcPr>
            <w:tcW w:w="0" w:type="auto"/>
            <w:shd w:val="clear" w:color="auto" w:fill="auto"/>
            <w:hideMark/>
          </w:tcPr>
          <w:p w14:paraId="2A046DF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06FB31B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shall make the information referred to in paragraphs (b) and (c), including the results of any audits, available to the competent supervisory authority on request.</w:t>
            </w:r>
          </w:p>
        </w:tc>
      </w:tr>
    </w:tbl>
    <w:p w14:paraId="69F64DFC"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9</w:t>
      </w:r>
    </w:p>
    <w:p w14:paraId="291AB243"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Use of sub-processors</w:t>
      </w:r>
    </w:p>
    <w:p w14:paraId="00357588"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2750307" w14:textId="77777777" w:rsidTr="0054649A">
        <w:tc>
          <w:tcPr>
            <w:tcW w:w="0" w:type="auto"/>
            <w:shd w:val="clear" w:color="auto" w:fill="auto"/>
            <w:hideMark/>
          </w:tcPr>
          <w:p w14:paraId="1DEA96E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4BAD0EF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OPTION 1: Not Selected</w:t>
            </w:r>
          </w:p>
          <w:p w14:paraId="4923EE2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fifteen (15)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tc>
      </w:tr>
    </w:tbl>
    <w:p w14:paraId="5E01CC6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06F5234" w14:textId="77777777" w:rsidTr="0054649A">
        <w:tc>
          <w:tcPr>
            <w:tcW w:w="0" w:type="auto"/>
            <w:shd w:val="clear" w:color="auto" w:fill="auto"/>
            <w:hideMark/>
          </w:tcPr>
          <w:p w14:paraId="060A7E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5BB16B5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r:id="rId15" w:anchor="ntr8-L_2021199EN.01003701-E0008"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8</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sz w:val="16"/>
                <w:szCs w:val="16"/>
                <w:lang w:val="en-GB"/>
              </w:rPr>
              <w:t> The Parties agree that, by complying with this Clause, the data importer fulfils its obligations under Clause 8.8. The data importer shall ensure that the sub-processor complies with the obligations to which the data importer is subject pursuant to these Clauses.</w:t>
            </w:r>
          </w:p>
        </w:tc>
      </w:tr>
    </w:tbl>
    <w:p w14:paraId="09B162D2"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0E1AD2A" w14:textId="77777777" w:rsidTr="0054649A">
        <w:tc>
          <w:tcPr>
            <w:tcW w:w="0" w:type="auto"/>
            <w:shd w:val="clear" w:color="auto" w:fill="auto"/>
            <w:hideMark/>
          </w:tcPr>
          <w:p w14:paraId="7528C22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37ADC81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tc>
      </w:tr>
    </w:tbl>
    <w:p w14:paraId="0CBCEE7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5AF3FB6" w14:textId="77777777" w:rsidTr="0054649A">
        <w:tc>
          <w:tcPr>
            <w:tcW w:w="0" w:type="auto"/>
            <w:shd w:val="clear" w:color="auto" w:fill="auto"/>
            <w:hideMark/>
          </w:tcPr>
          <w:p w14:paraId="471411C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67FB105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14:paraId="4F2BFBF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D8E8F86" w14:textId="77777777" w:rsidTr="0054649A">
        <w:tc>
          <w:tcPr>
            <w:tcW w:w="0" w:type="auto"/>
            <w:shd w:val="clear" w:color="auto" w:fill="auto"/>
            <w:hideMark/>
          </w:tcPr>
          <w:p w14:paraId="656EEEB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6BC8486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14:paraId="61250E7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lastRenderedPageBreak/>
        <w:t>Clause 10</w:t>
      </w:r>
    </w:p>
    <w:p w14:paraId="65A92F77"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Data subject rights</w:t>
      </w:r>
    </w:p>
    <w:p w14:paraId="268EDD92"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5D2105E" w14:textId="77777777" w:rsidTr="0054649A">
        <w:tc>
          <w:tcPr>
            <w:tcW w:w="0" w:type="auto"/>
            <w:shd w:val="clear" w:color="auto" w:fill="auto"/>
            <w:hideMark/>
          </w:tcPr>
          <w:p w14:paraId="51D6EEB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3D9204E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promptly notify the data exporter of any request it has received from a data subject. It shall not respond to that request itself unless it has been authorised to do so by the data exporter.</w:t>
            </w:r>
          </w:p>
        </w:tc>
      </w:tr>
    </w:tbl>
    <w:p w14:paraId="06CABDD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18028DAA" w14:textId="77777777" w:rsidTr="0054649A">
        <w:tc>
          <w:tcPr>
            <w:tcW w:w="0" w:type="auto"/>
            <w:shd w:val="clear" w:color="auto" w:fill="auto"/>
            <w:hideMark/>
          </w:tcPr>
          <w:p w14:paraId="2AE0C25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0B8C14B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w:t>
            </w:r>
            <w:proofErr w:type="gramStart"/>
            <w:r w:rsidRPr="000B7A1B">
              <w:rPr>
                <w:rFonts w:ascii="Times New Roman" w:eastAsia="Times New Roman" w:hAnsi="Times New Roman" w:cs="Times New Roman"/>
                <w:sz w:val="16"/>
                <w:szCs w:val="16"/>
                <w:lang w:val="en-GB"/>
              </w:rPr>
              <w:t>taking into account</w:t>
            </w:r>
            <w:proofErr w:type="gramEnd"/>
            <w:r w:rsidRPr="000B7A1B">
              <w:rPr>
                <w:rFonts w:ascii="Times New Roman" w:eastAsia="Times New Roman" w:hAnsi="Times New Roman" w:cs="Times New Roman"/>
                <w:sz w:val="16"/>
                <w:szCs w:val="16"/>
                <w:lang w:val="en-GB"/>
              </w:rPr>
              <w:t xml:space="preserve"> the nature of the processing, by which the assistance shall be provided, as well as the scope and the extent of the assistance required.</w:t>
            </w:r>
          </w:p>
        </w:tc>
      </w:tr>
    </w:tbl>
    <w:p w14:paraId="3501718C"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70"/>
        <w:gridCol w:w="8900"/>
      </w:tblGrid>
      <w:tr w:rsidR="000B7A1B" w:rsidRPr="000B7A1B" w14:paraId="7C8A6963" w14:textId="77777777" w:rsidTr="0054649A">
        <w:tc>
          <w:tcPr>
            <w:tcW w:w="0" w:type="auto"/>
            <w:shd w:val="clear" w:color="auto" w:fill="auto"/>
            <w:hideMark/>
          </w:tcPr>
          <w:p w14:paraId="136DE9F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7AB4937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fulfilling its obligations under paragraphs (a) and (b), the data importer shall comply with the instructions from the data exporter.</w:t>
            </w:r>
          </w:p>
        </w:tc>
      </w:tr>
    </w:tbl>
    <w:p w14:paraId="64F9F27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11</w:t>
      </w:r>
    </w:p>
    <w:p w14:paraId="63D8015E"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Redress</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7C475E8" w14:textId="77777777" w:rsidTr="0054649A">
        <w:tc>
          <w:tcPr>
            <w:tcW w:w="0" w:type="auto"/>
            <w:shd w:val="clear" w:color="auto" w:fill="auto"/>
            <w:hideMark/>
          </w:tcPr>
          <w:p w14:paraId="70B9653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136BCDD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29C3634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[OPTION: Not Selected]</w:t>
            </w:r>
          </w:p>
        </w:tc>
      </w:tr>
    </w:tbl>
    <w:p w14:paraId="56EC1A53"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b/>
          <w:bCs/>
          <w:color w:val="000000"/>
          <w:sz w:val="16"/>
          <w:szCs w:val="16"/>
          <w:lang w:val="en-GB"/>
        </w:rPr>
      </w:pPr>
    </w:p>
    <w:p w14:paraId="3ABAC236"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29B96637"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950CEB1" w14:textId="77777777" w:rsidTr="0054649A">
        <w:tc>
          <w:tcPr>
            <w:tcW w:w="0" w:type="auto"/>
            <w:shd w:val="clear" w:color="auto" w:fill="auto"/>
            <w:hideMark/>
          </w:tcPr>
          <w:p w14:paraId="4893023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4AC9586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tc>
      </w:tr>
    </w:tbl>
    <w:p w14:paraId="1C163864"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3CD1D21" w14:textId="77777777" w:rsidTr="0054649A">
        <w:tc>
          <w:tcPr>
            <w:tcW w:w="0" w:type="auto"/>
            <w:shd w:val="clear" w:color="auto" w:fill="auto"/>
            <w:hideMark/>
          </w:tcPr>
          <w:p w14:paraId="1B7E10D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4E5A0B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subject invokes a third-party beneficiary right pursuant to Clause 3, the data importer shall accept the decision of the data subject to:</w:t>
            </w:r>
          </w:p>
          <w:tbl>
            <w:tblPr>
              <w:tblW w:w="5000" w:type="pct"/>
              <w:tblCellMar>
                <w:left w:w="0" w:type="dxa"/>
                <w:right w:w="0" w:type="dxa"/>
              </w:tblCellMar>
              <w:tblLook w:val="04A0" w:firstRow="1" w:lastRow="0" w:firstColumn="1" w:lastColumn="0" w:noHBand="0" w:noVBand="1"/>
            </w:tblPr>
            <w:tblGrid>
              <w:gridCol w:w="332"/>
              <w:gridCol w:w="8580"/>
            </w:tblGrid>
            <w:tr w:rsidR="000B7A1B" w:rsidRPr="000B7A1B" w14:paraId="1A225B9B" w14:textId="77777777" w:rsidTr="0054649A">
              <w:tc>
                <w:tcPr>
                  <w:tcW w:w="0" w:type="auto"/>
                  <w:shd w:val="clear" w:color="auto" w:fill="auto"/>
                  <w:hideMark/>
                </w:tcPr>
                <w:p w14:paraId="6F85D06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7B983B2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lodge a complaint with the supervisory authority in the Member State of his/her habitual residence or place of work, or the competent supervisory authority pursuant to Clause 13;</w:t>
                  </w:r>
                </w:p>
              </w:tc>
            </w:tr>
          </w:tbl>
          <w:p w14:paraId="3320F657"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633"/>
              <w:gridCol w:w="8279"/>
            </w:tblGrid>
            <w:tr w:rsidR="000B7A1B" w:rsidRPr="000B7A1B" w14:paraId="45574217" w14:textId="77777777" w:rsidTr="0054649A">
              <w:tc>
                <w:tcPr>
                  <w:tcW w:w="0" w:type="auto"/>
                  <w:shd w:val="clear" w:color="auto" w:fill="auto"/>
                  <w:hideMark/>
                </w:tcPr>
                <w:p w14:paraId="129747D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50AAD91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refer the dispute to the competent courts within the meaning of Clause 18.</w:t>
                  </w:r>
                </w:p>
              </w:tc>
            </w:tr>
          </w:tbl>
          <w:p w14:paraId="3F8F3410" w14:textId="77777777" w:rsidR="000B7A1B" w:rsidRPr="000B7A1B" w:rsidRDefault="000B7A1B" w:rsidP="000B7A1B">
            <w:pPr>
              <w:spacing w:after="0" w:line="240" w:lineRule="auto"/>
              <w:ind w:left="180"/>
              <w:rPr>
                <w:rFonts w:ascii="Times New Roman" w:eastAsia="Times New Roman" w:hAnsi="Times New Roman" w:cs="Times New Roman"/>
                <w:sz w:val="16"/>
                <w:szCs w:val="16"/>
                <w:lang w:val="en-GB"/>
              </w:rPr>
            </w:pPr>
          </w:p>
        </w:tc>
      </w:tr>
    </w:tbl>
    <w:p w14:paraId="1EE37A9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5223D3D3" w14:textId="77777777" w:rsidTr="0054649A">
        <w:tc>
          <w:tcPr>
            <w:tcW w:w="0" w:type="auto"/>
            <w:shd w:val="clear" w:color="auto" w:fill="auto"/>
            <w:hideMark/>
          </w:tcPr>
          <w:p w14:paraId="17E2D99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74C2041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accept that the data subject may be represented by a not-for-profit body, organisation or association under the conditions set out in Article 80(1) of Regulation (EU) 2016/679.</w:t>
            </w:r>
          </w:p>
        </w:tc>
      </w:tr>
    </w:tbl>
    <w:p w14:paraId="43822E0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56"/>
        <w:gridCol w:w="8814"/>
      </w:tblGrid>
      <w:tr w:rsidR="000B7A1B" w:rsidRPr="000B7A1B" w14:paraId="2D011079" w14:textId="77777777" w:rsidTr="0054649A">
        <w:tc>
          <w:tcPr>
            <w:tcW w:w="0" w:type="auto"/>
            <w:shd w:val="clear" w:color="auto" w:fill="auto"/>
            <w:hideMark/>
          </w:tcPr>
          <w:p w14:paraId="742C9D5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6E9D8B9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abide by a decision that is binding under the applicable EU or Member State law.</w:t>
            </w:r>
          </w:p>
        </w:tc>
      </w:tr>
    </w:tbl>
    <w:p w14:paraId="1CE1CC19"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40"/>
        <w:gridCol w:w="8930"/>
      </w:tblGrid>
      <w:tr w:rsidR="000B7A1B" w:rsidRPr="000B7A1B" w14:paraId="6422D765" w14:textId="77777777" w:rsidTr="0054649A">
        <w:tc>
          <w:tcPr>
            <w:tcW w:w="0" w:type="auto"/>
            <w:shd w:val="clear" w:color="auto" w:fill="auto"/>
            <w:hideMark/>
          </w:tcPr>
          <w:p w14:paraId="1D5FA24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w:t>
            </w:r>
          </w:p>
        </w:tc>
        <w:tc>
          <w:tcPr>
            <w:tcW w:w="0" w:type="auto"/>
            <w:shd w:val="clear" w:color="auto" w:fill="auto"/>
            <w:hideMark/>
          </w:tcPr>
          <w:p w14:paraId="78E0D39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that the choice made by the data subject will not prejudice his/her substantive and procedural rights to seek remedies in accordance with applicable laws.</w:t>
            </w:r>
          </w:p>
        </w:tc>
      </w:tr>
    </w:tbl>
    <w:p w14:paraId="27AE21B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12</w:t>
      </w:r>
    </w:p>
    <w:p w14:paraId="5E507C7D"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Liability</w:t>
      </w:r>
    </w:p>
    <w:p w14:paraId="50C4AFC9"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24988CD6"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91"/>
        <w:gridCol w:w="8879"/>
      </w:tblGrid>
      <w:tr w:rsidR="000B7A1B" w:rsidRPr="000B7A1B" w14:paraId="7B9FE988" w14:textId="77777777" w:rsidTr="0054649A">
        <w:tc>
          <w:tcPr>
            <w:tcW w:w="0" w:type="auto"/>
            <w:shd w:val="clear" w:color="auto" w:fill="auto"/>
            <w:hideMark/>
          </w:tcPr>
          <w:p w14:paraId="0B5FA6E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6F93292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Each Party shall be liable to the other Party/ies for any damages it causes the other Party/ies by any breach of these Clauses.</w:t>
            </w:r>
          </w:p>
        </w:tc>
      </w:tr>
    </w:tbl>
    <w:p w14:paraId="40CEF12E"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58FB0C8C" w14:textId="77777777" w:rsidTr="0054649A">
        <w:tc>
          <w:tcPr>
            <w:tcW w:w="0" w:type="auto"/>
            <w:shd w:val="clear" w:color="auto" w:fill="auto"/>
            <w:hideMark/>
          </w:tcPr>
          <w:p w14:paraId="5E07456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57FE7C8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tc>
      </w:tr>
    </w:tbl>
    <w:p w14:paraId="321D2CBA"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7876C59" w14:textId="77777777" w:rsidTr="0054649A">
        <w:tc>
          <w:tcPr>
            <w:tcW w:w="0" w:type="auto"/>
            <w:shd w:val="clear" w:color="auto" w:fill="auto"/>
            <w:hideMark/>
          </w:tcPr>
          <w:p w14:paraId="2449BB8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lastRenderedPageBreak/>
              <w:t>(c)</w:t>
            </w:r>
          </w:p>
        </w:tc>
        <w:tc>
          <w:tcPr>
            <w:tcW w:w="0" w:type="auto"/>
            <w:shd w:val="clear" w:color="auto" w:fill="auto"/>
            <w:hideMark/>
          </w:tcPr>
          <w:p w14:paraId="3BAD043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tc>
      </w:tr>
    </w:tbl>
    <w:p w14:paraId="21547F4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F2A6FF2" w14:textId="77777777" w:rsidTr="0054649A">
        <w:tc>
          <w:tcPr>
            <w:tcW w:w="0" w:type="auto"/>
            <w:shd w:val="clear" w:color="auto" w:fill="auto"/>
            <w:hideMark/>
          </w:tcPr>
          <w:p w14:paraId="41A3A4D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3DF7314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tc>
      </w:tr>
    </w:tbl>
    <w:p w14:paraId="2A157A1F"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00560B8" w14:textId="77777777" w:rsidTr="0054649A">
        <w:tc>
          <w:tcPr>
            <w:tcW w:w="0" w:type="auto"/>
            <w:shd w:val="clear" w:color="auto" w:fill="auto"/>
            <w:hideMark/>
          </w:tcPr>
          <w:p w14:paraId="14FABD9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724945B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tc>
      </w:tr>
    </w:tbl>
    <w:p w14:paraId="695C2C7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40"/>
        <w:gridCol w:w="8930"/>
      </w:tblGrid>
      <w:tr w:rsidR="000B7A1B" w:rsidRPr="000B7A1B" w14:paraId="610583E7" w14:textId="77777777" w:rsidTr="0054649A">
        <w:tc>
          <w:tcPr>
            <w:tcW w:w="0" w:type="auto"/>
            <w:shd w:val="clear" w:color="auto" w:fill="auto"/>
            <w:hideMark/>
          </w:tcPr>
          <w:p w14:paraId="10229E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w:t>
            </w:r>
          </w:p>
        </w:tc>
        <w:tc>
          <w:tcPr>
            <w:tcW w:w="0" w:type="auto"/>
            <w:shd w:val="clear" w:color="auto" w:fill="auto"/>
            <w:hideMark/>
          </w:tcPr>
          <w:p w14:paraId="1B35262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that if one Party is held liable under paragraph (e), it shall be entitled to claim back from the other Party/ies that part of the compensation corresponding to its/their responsibility for the damage.</w:t>
            </w:r>
          </w:p>
        </w:tc>
      </w:tr>
    </w:tbl>
    <w:p w14:paraId="2BA217A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534"/>
        <w:gridCol w:w="8736"/>
      </w:tblGrid>
      <w:tr w:rsidR="000B7A1B" w:rsidRPr="000B7A1B" w14:paraId="163E5D85" w14:textId="77777777" w:rsidTr="0054649A">
        <w:tc>
          <w:tcPr>
            <w:tcW w:w="0" w:type="auto"/>
            <w:shd w:val="clear" w:color="auto" w:fill="auto"/>
            <w:hideMark/>
          </w:tcPr>
          <w:p w14:paraId="04730AC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(g)</w:t>
            </w:r>
          </w:p>
        </w:tc>
        <w:tc>
          <w:tcPr>
            <w:tcW w:w="0" w:type="auto"/>
            <w:shd w:val="clear" w:color="auto" w:fill="auto"/>
            <w:hideMark/>
          </w:tcPr>
          <w:p w14:paraId="4C70962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may not invoke the conduct of a sub-processor to avoid its own liability.</w:t>
            </w:r>
          </w:p>
        </w:tc>
      </w:tr>
    </w:tbl>
    <w:p w14:paraId="719685FD"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13</w:t>
      </w:r>
    </w:p>
    <w:p w14:paraId="369F307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Supervision</w:t>
      </w:r>
    </w:p>
    <w:p w14:paraId="14136BA6"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661CACB" w14:textId="77777777" w:rsidTr="0054649A">
        <w:tc>
          <w:tcPr>
            <w:tcW w:w="0" w:type="auto"/>
            <w:shd w:val="clear" w:color="auto" w:fill="auto"/>
            <w:hideMark/>
          </w:tcPr>
          <w:p w14:paraId="4815830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7C50F84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4951162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46CCB5A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tc>
      </w:tr>
    </w:tbl>
    <w:p w14:paraId="60ADA2A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33740426" w14:textId="77777777" w:rsidTr="0054649A">
        <w:tc>
          <w:tcPr>
            <w:tcW w:w="0" w:type="auto"/>
            <w:shd w:val="clear" w:color="auto" w:fill="auto"/>
            <w:hideMark/>
          </w:tcPr>
          <w:p w14:paraId="00453FB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7BA992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tc>
      </w:tr>
    </w:tbl>
    <w:p w14:paraId="04D00232" w14:textId="77777777" w:rsidR="000B7A1B" w:rsidRPr="000B7A1B" w:rsidRDefault="000B7A1B" w:rsidP="000B7A1B">
      <w:pPr>
        <w:shd w:val="clear" w:color="auto" w:fill="FFFFFF"/>
        <w:spacing w:before="240" w:after="120" w:line="240" w:lineRule="auto"/>
        <w:ind w:left="180"/>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III – LOCAL LAWS AND OBLIGATIONS IN CASE OF ACCESS BY PUBLIC AUTHORITIES</w:t>
      </w:r>
    </w:p>
    <w:p w14:paraId="3AF0EA38"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14</w:t>
      </w:r>
    </w:p>
    <w:p w14:paraId="475626B5"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Local laws and practices affecting compliance with the Clauses</w:t>
      </w:r>
    </w:p>
    <w:p w14:paraId="4F17C8B7"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953949C" w14:textId="77777777" w:rsidTr="0054649A">
        <w:tc>
          <w:tcPr>
            <w:tcW w:w="0" w:type="auto"/>
            <w:shd w:val="clear" w:color="auto" w:fill="auto"/>
            <w:hideMark/>
          </w:tcPr>
          <w:p w14:paraId="5E7C01F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663AF9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tc>
      </w:tr>
    </w:tbl>
    <w:p w14:paraId="26790854"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34FD24DA" w14:textId="77777777" w:rsidTr="0054649A">
        <w:tc>
          <w:tcPr>
            <w:tcW w:w="0" w:type="auto"/>
            <w:shd w:val="clear" w:color="auto" w:fill="auto"/>
            <w:hideMark/>
          </w:tcPr>
          <w:p w14:paraId="0C41485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3F80486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Parties declare that in providing the warranty in paragraph (a), they have taken due account </w:t>
            </w:r>
            <w:proofErr w:type="gramStart"/>
            <w:r w:rsidRPr="000B7A1B">
              <w:rPr>
                <w:rFonts w:ascii="Times New Roman" w:eastAsia="Times New Roman" w:hAnsi="Times New Roman" w:cs="Times New Roman"/>
                <w:sz w:val="16"/>
                <w:szCs w:val="16"/>
                <w:lang w:val="en-GB"/>
              </w:rPr>
              <w:t>in particular of</w:t>
            </w:r>
            <w:proofErr w:type="gramEnd"/>
            <w:r w:rsidRPr="000B7A1B">
              <w:rPr>
                <w:rFonts w:ascii="Times New Roman" w:eastAsia="Times New Roman" w:hAnsi="Times New Roman" w:cs="Times New Roman"/>
                <w:sz w:val="16"/>
                <w:szCs w:val="16"/>
                <w:lang w:val="en-GB"/>
              </w:rPr>
              <w:t xml:space="preserve"> the following elements:</w:t>
            </w:r>
          </w:p>
          <w:tbl>
            <w:tblPr>
              <w:tblW w:w="5000" w:type="pct"/>
              <w:tblCellMar>
                <w:left w:w="0" w:type="dxa"/>
                <w:right w:w="0" w:type="dxa"/>
              </w:tblCellMar>
              <w:tblLook w:val="04A0" w:firstRow="1" w:lastRow="0" w:firstColumn="1" w:lastColumn="0" w:noHBand="0" w:noVBand="1"/>
            </w:tblPr>
            <w:tblGrid>
              <w:gridCol w:w="332"/>
              <w:gridCol w:w="8571"/>
            </w:tblGrid>
            <w:tr w:rsidR="000B7A1B" w:rsidRPr="000B7A1B" w14:paraId="22A60507" w14:textId="77777777" w:rsidTr="0054649A">
              <w:tc>
                <w:tcPr>
                  <w:tcW w:w="0" w:type="auto"/>
                  <w:shd w:val="clear" w:color="auto" w:fill="auto"/>
                  <w:hideMark/>
                </w:tcPr>
                <w:p w14:paraId="376696B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75B101F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specific circumstances of the transfer, including the length of the processing chain, the number of actors </w:t>
                  </w:r>
                  <w:proofErr w:type="gramStart"/>
                  <w:r w:rsidRPr="000B7A1B">
                    <w:rPr>
                      <w:rFonts w:ascii="Times New Roman" w:eastAsia="Times New Roman" w:hAnsi="Times New Roman" w:cs="Times New Roman"/>
                      <w:sz w:val="16"/>
                      <w:szCs w:val="16"/>
                      <w:lang w:val="en-GB"/>
                    </w:rPr>
                    <w:t>involved</w:t>
                  </w:r>
                  <w:proofErr w:type="gramEnd"/>
                  <w:r w:rsidRPr="000B7A1B">
                    <w:rPr>
                      <w:rFonts w:ascii="Times New Roman" w:eastAsia="Times New Roman" w:hAnsi="Times New Roman" w:cs="Times New Roman"/>
                      <w:sz w:val="16"/>
                      <w:szCs w:val="16"/>
                      <w:lang w:val="en-GB"/>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tc>
            </w:tr>
          </w:tbl>
          <w:p w14:paraId="561BA759"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376"/>
              <w:gridCol w:w="8527"/>
            </w:tblGrid>
            <w:tr w:rsidR="000B7A1B" w:rsidRPr="000B7A1B" w14:paraId="27F75533" w14:textId="77777777" w:rsidTr="0054649A">
              <w:tc>
                <w:tcPr>
                  <w:tcW w:w="0" w:type="auto"/>
                  <w:shd w:val="clear" w:color="auto" w:fill="auto"/>
                  <w:hideMark/>
                </w:tcPr>
                <w:p w14:paraId="7DEFD7F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lastRenderedPageBreak/>
                    <w:t>(ii)</w:t>
                  </w:r>
                </w:p>
              </w:tc>
              <w:tc>
                <w:tcPr>
                  <w:tcW w:w="0" w:type="auto"/>
                  <w:shd w:val="clear" w:color="auto" w:fill="auto"/>
                  <w:hideMark/>
                </w:tcPr>
                <w:p w14:paraId="753C5E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hyperlink r:id="rId16" w:anchor="ntr12-L_2021199EN.01003701-E0012"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12</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sz w:val="16"/>
                      <w:szCs w:val="16"/>
                      <w:lang w:val="en-GB"/>
                    </w:rPr>
                    <w:t>;</w:t>
                  </w:r>
                </w:p>
              </w:tc>
            </w:tr>
          </w:tbl>
          <w:p w14:paraId="568C4AAF"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420"/>
              <w:gridCol w:w="8483"/>
            </w:tblGrid>
            <w:tr w:rsidR="000B7A1B" w:rsidRPr="000B7A1B" w14:paraId="25A01079" w14:textId="77777777" w:rsidTr="0054649A">
              <w:tc>
                <w:tcPr>
                  <w:tcW w:w="0" w:type="auto"/>
                  <w:shd w:val="clear" w:color="auto" w:fill="auto"/>
                  <w:hideMark/>
                </w:tcPr>
                <w:p w14:paraId="5F1A0E8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(iii)</w:t>
                  </w:r>
                </w:p>
              </w:tc>
              <w:tc>
                <w:tcPr>
                  <w:tcW w:w="0" w:type="auto"/>
                  <w:shd w:val="clear" w:color="auto" w:fill="auto"/>
                  <w:hideMark/>
                </w:tcPr>
                <w:p w14:paraId="05ABA9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any relevant contractual, technical or organisational safeguards put in place to supplement the safeguards under these Clauses, including measures applied during transmission and to the processing of the personal data in the country of destination.</w:t>
                  </w:r>
                </w:p>
              </w:tc>
            </w:tr>
          </w:tbl>
          <w:p w14:paraId="08A4CA9A" w14:textId="77777777" w:rsidR="000B7A1B" w:rsidRPr="000B7A1B" w:rsidRDefault="000B7A1B" w:rsidP="000B7A1B">
            <w:pPr>
              <w:spacing w:after="0" w:line="240" w:lineRule="auto"/>
              <w:ind w:left="180"/>
              <w:rPr>
                <w:rFonts w:ascii="Times New Roman" w:eastAsia="Times New Roman" w:hAnsi="Times New Roman" w:cs="Times New Roman"/>
                <w:sz w:val="16"/>
                <w:szCs w:val="16"/>
                <w:lang w:val="en-GB"/>
              </w:rPr>
            </w:pPr>
          </w:p>
        </w:tc>
      </w:tr>
    </w:tbl>
    <w:p w14:paraId="6E7B8DC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DDA425D" w14:textId="77777777" w:rsidTr="0054649A">
        <w:tc>
          <w:tcPr>
            <w:tcW w:w="0" w:type="auto"/>
            <w:shd w:val="clear" w:color="auto" w:fill="auto"/>
            <w:hideMark/>
          </w:tcPr>
          <w:p w14:paraId="14FB935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12504E5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tc>
      </w:tr>
    </w:tbl>
    <w:p w14:paraId="2930ACB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089E2FAF" w14:textId="77777777" w:rsidTr="0054649A">
        <w:tc>
          <w:tcPr>
            <w:tcW w:w="0" w:type="auto"/>
            <w:shd w:val="clear" w:color="auto" w:fill="auto"/>
            <w:hideMark/>
          </w:tcPr>
          <w:p w14:paraId="4B5E0A5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71C0B2F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to document the assessment under paragraph (b) and make it available to the competent supervisory authority on request.</w:t>
            </w:r>
          </w:p>
        </w:tc>
      </w:tr>
    </w:tbl>
    <w:p w14:paraId="3797F590"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52A8778" w14:textId="77777777" w:rsidTr="0054649A">
        <w:tc>
          <w:tcPr>
            <w:tcW w:w="0" w:type="auto"/>
            <w:shd w:val="clear" w:color="auto" w:fill="auto"/>
            <w:hideMark/>
          </w:tcPr>
          <w:p w14:paraId="5BB4568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3067476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tc>
      </w:tr>
    </w:tbl>
    <w:p w14:paraId="4B9BCCA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40"/>
        <w:gridCol w:w="8930"/>
      </w:tblGrid>
      <w:tr w:rsidR="000B7A1B" w:rsidRPr="000B7A1B" w14:paraId="6059A03C" w14:textId="77777777" w:rsidTr="0054649A">
        <w:tc>
          <w:tcPr>
            <w:tcW w:w="0" w:type="auto"/>
            <w:shd w:val="clear" w:color="auto" w:fill="auto"/>
            <w:hideMark/>
          </w:tcPr>
          <w:p w14:paraId="3306F62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w:t>
            </w:r>
          </w:p>
        </w:tc>
        <w:tc>
          <w:tcPr>
            <w:tcW w:w="0" w:type="auto"/>
            <w:shd w:val="clear" w:color="auto" w:fill="auto"/>
            <w:hideMark/>
          </w:tcPr>
          <w:p w14:paraId="2D1D83E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0B7A1B">
              <w:rPr>
                <w:rFonts w:ascii="Times New Roman" w:eastAsia="Times New Roman" w:hAnsi="Times New Roman" w:cs="Times New Roman"/>
                <w:sz w:val="16"/>
                <w:szCs w:val="16"/>
                <w:lang w:val="en-GB"/>
              </w:rPr>
              <w:t>e.g.</w:t>
            </w:r>
            <w:proofErr w:type="gramEnd"/>
            <w:r w:rsidRPr="000B7A1B">
              <w:rPr>
                <w:rFonts w:ascii="Times New Roman" w:eastAsia="Times New Roman" w:hAnsi="Times New Roman" w:cs="Times New Roman"/>
                <w:sz w:val="16"/>
                <w:szCs w:val="16"/>
                <w:lang w:val="en-GB"/>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tc>
      </w:tr>
    </w:tbl>
    <w:p w14:paraId="696518E7"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15</w:t>
      </w:r>
    </w:p>
    <w:p w14:paraId="66794077"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Obligations of the data importer in case of access by public authorities</w:t>
      </w:r>
    </w:p>
    <w:p w14:paraId="54AAFA4F"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3E5183D0"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15.1   Notification</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5F495EAB" w14:textId="77777777" w:rsidTr="0054649A">
        <w:tc>
          <w:tcPr>
            <w:tcW w:w="0" w:type="auto"/>
            <w:shd w:val="clear" w:color="auto" w:fill="auto"/>
            <w:hideMark/>
          </w:tcPr>
          <w:p w14:paraId="583A979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AD6F55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notify the data exporter and, where possible, the data subject promptly (if </w:t>
            </w:r>
            <w:proofErr w:type="gramStart"/>
            <w:r w:rsidRPr="000B7A1B">
              <w:rPr>
                <w:rFonts w:ascii="Times New Roman" w:eastAsia="Times New Roman" w:hAnsi="Times New Roman" w:cs="Times New Roman"/>
                <w:sz w:val="16"/>
                <w:szCs w:val="16"/>
                <w:lang w:val="en-GB"/>
              </w:rPr>
              <w:t>necessary</w:t>
            </w:r>
            <w:proofErr w:type="gramEnd"/>
            <w:r w:rsidRPr="000B7A1B">
              <w:rPr>
                <w:rFonts w:ascii="Times New Roman" w:eastAsia="Times New Roman" w:hAnsi="Times New Roman" w:cs="Times New Roman"/>
                <w:sz w:val="16"/>
                <w:szCs w:val="16"/>
                <w:lang w:val="en-GB"/>
              </w:rPr>
              <w:t xml:space="preserve"> with the help of the data exporter) if it:</w:t>
            </w:r>
          </w:p>
          <w:tbl>
            <w:tblPr>
              <w:tblW w:w="5000" w:type="pct"/>
              <w:tblCellMar>
                <w:left w:w="0" w:type="dxa"/>
                <w:right w:w="0" w:type="dxa"/>
              </w:tblCellMar>
              <w:tblLook w:val="04A0" w:firstRow="1" w:lastRow="0" w:firstColumn="1" w:lastColumn="0" w:noHBand="0" w:noVBand="1"/>
            </w:tblPr>
            <w:tblGrid>
              <w:gridCol w:w="332"/>
              <w:gridCol w:w="8580"/>
            </w:tblGrid>
            <w:tr w:rsidR="000B7A1B" w:rsidRPr="000B7A1B" w14:paraId="7D45982B" w14:textId="77777777" w:rsidTr="0054649A">
              <w:tc>
                <w:tcPr>
                  <w:tcW w:w="0" w:type="auto"/>
                  <w:shd w:val="clear" w:color="auto" w:fill="auto"/>
                  <w:hideMark/>
                </w:tcPr>
                <w:p w14:paraId="038FEBB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4353B4A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tc>
            </w:tr>
          </w:tbl>
          <w:p w14:paraId="71EBAA58"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376"/>
              <w:gridCol w:w="8536"/>
            </w:tblGrid>
            <w:tr w:rsidR="000B7A1B" w:rsidRPr="000B7A1B" w14:paraId="7D0349DD" w14:textId="77777777" w:rsidTr="0054649A">
              <w:tc>
                <w:tcPr>
                  <w:tcW w:w="0" w:type="auto"/>
                  <w:shd w:val="clear" w:color="auto" w:fill="auto"/>
                  <w:hideMark/>
                </w:tcPr>
                <w:p w14:paraId="78F2F49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1B9D4F9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becomes aware of any direct access by public authorities to personal data transferred pursuant to these Clauses in accordance with the laws of the country of destination; such notification shall include all information available to the importer.</w:t>
                  </w:r>
                </w:p>
              </w:tc>
            </w:tr>
          </w:tbl>
          <w:p w14:paraId="0235A6B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p>
        </w:tc>
      </w:tr>
    </w:tbl>
    <w:p w14:paraId="1CC1BC10"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1DEA03E1" w14:textId="77777777" w:rsidTr="0054649A">
        <w:tc>
          <w:tcPr>
            <w:tcW w:w="0" w:type="auto"/>
            <w:shd w:val="clear" w:color="auto" w:fill="auto"/>
            <w:hideMark/>
          </w:tcPr>
          <w:p w14:paraId="4F58788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1015585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tc>
      </w:tr>
    </w:tbl>
    <w:p w14:paraId="35A38A2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6507F42A" w14:textId="77777777" w:rsidTr="0054649A">
        <w:tc>
          <w:tcPr>
            <w:tcW w:w="0" w:type="auto"/>
            <w:shd w:val="clear" w:color="auto" w:fill="auto"/>
            <w:hideMark/>
          </w:tcPr>
          <w:p w14:paraId="5DF7FBF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0D893D7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tc>
      </w:tr>
    </w:tbl>
    <w:p w14:paraId="7D2EEBB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34866EC4" w14:textId="77777777" w:rsidTr="0054649A">
        <w:tc>
          <w:tcPr>
            <w:tcW w:w="0" w:type="auto"/>
            <w:shd w:val="clear" w:color="auto" w:fill="auto"/>
            <w:hideMark/>
          </w:tcPr>
          <w:p w14:paraId="0C159A0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33C1FFF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to preserve the information pursuant to paragraphs (a) to (c) for the duration of the contract and make it available to the competent supervisory authority on request.</w:t>
            </w:r>
          </w:p>
        </w:tc>
      </w:tr>
    </w:tbl>
    <w:p w14:paraId="2454379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29F75EF" w14:textId="77777777" w:rsidTr="0054649A">
        <w:tc>
          <w:tcPr>
            <w:tcW w:w="0" w:type="auto"/>
            <w:shd w:val="clear" w:color="auto" w:fill="auto"/>
            <w:hideMark/>
          </w:tcPr>
          <w:p w14:paraId="4DE53BE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6E38C30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Paragraphs (a) to (c) are without prejudice to the obligation of the data importer pursuant to Clause 14(e) and Clause 16 to inform the data exporter promptly where it is unable to comply with these Clauses.</w:t>
            </w:r>
          </w:p>
        </w:tc>
      </w:tr>
    </w:tbl>
    <w:p w14:paraId="0A7C0BE6"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15.2   Review of legality and data minimisation</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B700FF3" w14:textId="77777777" w:rsidTr="0054649A">
        <w:tc>
          <w:tcPr>
            <w:tcW w:w="0" w:type="auto"/>
            <w:shd w:val="clear" w:color="auto" w:fill="auto"/>
            <w:hideMark/>
          </w:tcPr>
          <w:p w14:paraId="53E1214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lastRenderedPageBreak/>
              <w:t>(a)</w:t>
            </w:r>
          </w:p>
        </w:tc>
        <w:tc>
          <w:tcPr>
            <w:tcW w:w="0" w:type="auto"/>
            <w:shd w:val="clear" w:color="auto" w:fill="auto"/>
            <w:hideMark/>
          </w:tcPr>
          <w:p w14:paraId="7EC5F5B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review the legality of the request for disclosure, </w:t>
            </w:r>
            <w:proofErr w:type="gramStart"/>
            <w:r w:rsidRPr="000B7A1B">
              <w:rPr>
                <w:rFonts w:ascii="Times New Roman" w:eastAsia="Times New Roman" w:hAnsi="Times New Roman" w:cs="Times New Roman"/>
                <w:sz w:val="16"/>
                <w:szCs w:val="16"/>
                <w:lang w:val="en-GB"/>
              </w:rPr>
              <w:t>in particular whether</w:t>
            </w:r>
            <w:proofErr w:type="gramEnd"/>
            <w:r w:rsidRPr="000B7A1B">
              <w:rPr>
                <w:rFonts w:ascii="Times New Roman" w:eastAsia="Times New Roman" w:hAnsi="Times New Roman" w:cs="Times New Roman"/>
                <w:sz w:val="16"/>
                <w:szCs w:val="16"/>
                <w:lang w:val="en-GB"/>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tc>
      </w:tr>
    </w:tbl>
    <w:p w14:paraId="6520A60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4A2D0F5" w14:textId="77777777" w:rsidTr="0054649A">
        <w:tc>
          <w:tcPr>
            <w:tcW w:w="0" w:type="auto"/>
            <w:shd w:val="clear" w:color="auto" w:fill="auto"/>
            <w:hideMark/>
          </w:tcPr>
          <w:p w14:paraId="308E690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62612A5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tc>
      </w:tr>
    </w:tbl>
    <w:p w14:paraId="3537100F"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12B7266" w14:textId="77777777" w:rsidTr="0054649A">
        <w:tc>
          <w:tcPr>
            <w:tcW w:w="0" w:type="auto"/>
            <w:shd w:val="clear" w:color="auto" w:fill="auto"/>
            <w:hideMark/>
          </w:tcPr>
          <w:p w14:paraId="1C6FED1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0CE826F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to provide the minimum amount of information permissible when responding to a request for disclosure, based on a reasonable interpretation of the request.</w:t>
            </w:r>
          </w:p>
        </w:tc>
      </w:tr>
    </w:tbl>
    <w:p w14:paraId="3AD09463" w14:textId="77777777" w:rsidR="000B7A1B" w:rsidRPr="000B7A1B" w:rsidRDefault="000B7A1B" w:rsidP="000B7A1B">
      <w:pPr>
        <w:shd w:val="clear" w:color="auto" w:fill="FFFFFF"/>
        <w:spacing w:before="240" w:after="120" w:line="240" w:lineRule="auto"/>
        <w:ind w:left="180"/>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IV – FINAL PROVISIONS</w:t>
      </w:r>
    </w:p>
    <w:p w14:paraId="6ED971EE"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16</w:t>
      </w:r>
    </w:p>
    <w:p w14:paraId="26F49ABE"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Non-compliance with the Clauses and termination</w:t>
      </w:r>
    </w:p>
    <w:tbl>
      <w:tblPr>
        <w:tblW w:w="5000" w:type="pct"/>
        <w:tblCellMar>
          <w:left w:w="0" w:type="dxa"/>
          <w:right w:w="0" w:type="dxa"/>
        </w:tblCellMar>
        <w:tblLook w:val="04A0" w:firstRow="1" w:lastRow="0" w:firstColumn="1" w:lastColumn="0" w:noHBand="0" w:noVBand="1"/>
      </w:tblPr>
      <w:tblGrid>
        <w:gridCol w:w="394"/>
        <w:gridCol w:w="8876"/>
      </w:tblGrid>
      <w:tr w:rsidR="000B7A1B" w:rsidRPr="000B7A1B" w14:paraId="16C51D8C" w14:textId="77777777" w:rsidTr="0054649A">
        <w:tc>
          <w:tcPr>
            <w:tcW w:w="0" w:type="auto"/>
            <w:shd w:val="clear" w:color="auto" w:fill="auto"/>
            <w:hideMark/>
          </w:tcPr>
          <w:p w14:paraId="10E1386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2B3E796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promptly inform the data exporter if it is unable to comply with these Clauses, for whatever reason.</w:t>
            </w:r>
          </w:p>
        </w:tc>
      </w:tr>
    </w:tbl>
    <w:p w14:paraId="230B3A42"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6D22B830" w14:textId="77777777" w:rsidTr="0054649A">
        <w:tc>
          <w:tcPr>
            <w:tcW w:w="0" w:type="auto"/>
            <w:shd w:val="clear" w:color="auto" w:fill="auto"/>
            <w:hideMark/>
          </w:tcPr>
          <w:p w14:paraId="00C6CAE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65619F2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proofErr w:type="gramStart"/>
            <w:r w:rsidRPr="000B7A1B">
              <w:rPr>
                <w:rFonts w:ascii="Times New Roman" w:eastAsia="Times New Roman" w:hAnsi="Times New Roman" w:cs="Times New Roman"/>
                <w:sz w:val="16"/>
                <w:szCs w:val="16"/>
                <w:lang w:val="en-GB"/>
              </w:rPr>
              <w:t>In the event that</w:t>
            </w:r>
            <w:proofErr w:type="gramEnd"/>
            <w:r w:rsidRPr="000B7A1B">
              <w:rPr>
                <w:rFonts w:ascii="Times New Roman" w:eastAsia="Times New Roman" w:hAnsi="Times New Roman" w:cs="Times New Roman"/>
                <w:sz w:val="16"/>
                <w:szCs w:val="16"/>
                <w:lang w:val="en-GB"/>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tc>
      </w:tr>
    </w:tbl>
    <w:p w14:paraId="6800F0C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1AD3127" w14:textId="77777777" w:rsidTr="0054649A">
        <w:tc>
          <w:tcPr>
            <w:tcW w:w="0" w:type="auto"/>
            <w:shd w:val="clear" w:color="auto" w:fill="auto"/>
            <w:hideMark/>
          </w:tcPr>
          <w:p w14:paraId="0721554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24D0BED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exporter shall be entitled to terminate the contract, insofar as it concerns the processing of personal data under these Clauses, where:</w:t>
            </w:r>
          </w:p>
          <w:tbl>
            <w:tblPr>
              <w:tblW w:w="5000" w:type="pct"/>
              <w:tblCellMar>
                <w:left w:w="0" w:type="dxa"/>
                <w:right w:w="0" w:type="dxa"/>
              </w:tblCellMar>
              <w:tblLook w:val="04A0" w:firstRow="1" w:lastRow="0" w:firstColumn="1" w:lastColumn="0" w:noHBand="0" w:noVBand="1"/>
            </w:tblPr>
            <w:tblGrid>
              <w:gridCol w:w="332"/>
              <w:gridCol w:w="8580"/>
            </w:tblGrid>
            <w:tr w:rsidR="000B7A1B" w:rsidRPr="000B7A1B" w14:paraId="3CE06444" w14:textId="77777777" w:rsidTr="0054649A">
              <w:tc>
                <w:tcPr>
                  <w:tcW w:w="0" w:type="auto"/>
                  <w:shd w:val="clear" w:color="auto" w:fill="auto"/>
                  <w:hideMark/>
                </w:tcPr>
                <w:p w14:paraId="7734F25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45432B4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exporter has suspended the transfer of personal data to the data importer pursuant to paragraph (b) and compliance with these Clauses is not restored within a reasonable time and in any event within one month of suspension;</w:t>
                  </w:r>
                </w:p>
              </w:tc>
            </w:tr>
          </w:tbl>
          <w:p w14:paraId="077348E4"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635"/>
              <w:gridCol w:w="8277"/>
            </w:tblGrid>
            <w:tr w:rsidR="000B7A1B" w:rsidRPr="000B7A1B" w14:paraId="54B521B7" w14:textId="77777777" w:rsidTr="0054649A">
              <w:tc>
                <w:tcPr>
                  <w:tcW w:w="0" w:type="auto"/>
                  <w:shd w:val="clear" w:color="auto" w:fill="auto"/>
                  <w:hideMark/>
                </w:tcPr>
                <w:p w14:paraId="6CC0118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1F6DDC9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is in substantial or persistent breach of these Clauses; or</w:t>
                  </w:r>
                </w:p>
              </w:tc>
            </w:tr>
          </w:tbl>
          <w:p w14:paraId="43DB498A"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420"/>
              <w:gridCol w:w="8492"/>
            </w:tblGrid>
            <w:tr w:rsidR="000B7A1B" w:rsidRPr="000B7A1B" w14:paraId="5C619D08" w14:textId="77777777" w:rsidTr="0054649A">
              <w:tc>
                <w:tcPr>
                  <w:tcW w:w="0" w:type="auto"/>
                  <w:shd w:val="clear" w:color="auto" w:fill="auto"/>
                  <w:hideMark/>
                </w:tcPr>
                <w:p w14:paraId="4EA107B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(iii)</w:t>
                  </w:r>
                </w:p>
              </w:tc>
              <w:tc>
                <w:tcPr>
                  <w:tcW w:w="0" w:type="auto"/>
                  <w:shd w:val="clear" w:color="auto" w:fill="auto"/>
                  <w:hideMark/>
                </w:tcPr>
                <w:p w14:paraId="12B2472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fails to comply with a binding decision of a competent court or supervisory authority regarding its obligations under these Clauses.</w:t>
                  </w:r>
                </w:p>
              </w:tc>
            </w:tr>
          </w:tbl>
          <w:p w14:paraId="27D2164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tc>
      </w:tr>
    </w:tbl>
    <w:p w14:paraId="2C43881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4702F2D" w14:textId="77777777" w:rsidTr="0054649A">
        <w:tc>
          <w:tcPr>
            <w:tcW w:w="0" w:type="auto"/>
            <w:shd w:val="clear" w:color="auto" w:fill="auto"/>
            <w:hideMark/>
          </w:tcPr>
          <w:p w14:paraId="35C811C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575DCC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tc>
      </w:tr>
    </w:tbl>
    <w:p w14:paraId="1ECE98F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D13F26B" w14:textId="77777777" w:rsidTr="0054649A">
        <w:tc>
          <w:tcPr>
            <w:tcW w:w="0" w:type="auto"/>
            <w:shd w:val="clear" w:color="auto" w:fill="auto"/>
            <w:hideMark/>
          </w:tcPr>
          <w:p w14:paraId="76CFA18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1674E22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r>
    </w:tbl>
    <w:p w14:paraId="2147B1F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17</w:t>
      </w:r>
    </w:p>
    <w:p w14:paraId="568301F5"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Governing law</w:t>
      </w:r>
    </w:p>
    <w:p w14:paraId="7AEEFAC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3D1892C5" w14:textId="38CB5D00"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[OPTION 1: These Clauses shall be governed by the law of one of the EU Member States, provided such law allows for third-party beneficiary rights. The Parties agree that this shall be the law of </w:t>
      </w:r>
      <w:r w:rsidR="00447CBE">
        <w:rPr>
          <w:rFonts w:ascii="Times New Roman" w:eastAsia="Times New Roman" w:hAnsi="Times New Roman" w:cs="Times New Roman"/>
          <w:color w:val="000000"/>
          <w:sz w:val="16"/>
          <w:szCs w:val="16"/>
          <w:lang w:val="en-GB"/>
        </w:rPr>
        <w:fldChar w:fldCharType="begin">
          <w:ffData>
            <w:name w:val="Text7"/>
            <w:enabled/>
            <w:calcOnExit w:val="0"/>
            <w:textInput/>
          </w:ffData>
        </w:fldChar>
      </w:r>
      <w:bookmarkStart w:id="8" w:name="Text7"/>
      <w:r w:rsidR="00447CBE">
        <w:rPr>
          <w:rFonts w:ascii="Times New Roman" w:eastAsia="Times New Roman" w:hAnsi="Times New Roman" w:cs="Times New Roman"/>
          <w:color w:val="000000"/>
          <w:sz w:val="16"/>
          <w:szCs w:val="16"/>
          <w:lang w:val="en-GB"/>
        </w:rPr>
        <w:instrText xml:space="preserve"> FORMTEXT </w:instrText>
      </w:r>
      <w:r w:rsidR="00447CBE">
        <w:rPr>
          <w:rFonts w:ascii="Times New Roman" w:eastAsia="Times New Roman" w:hAnsi="Times New Roman" w:cs="Times New Roman"/>
          <w:color w:val="000000"/>
          <w:sz w:val="16"/>
          <w:szCs w:val="16"/>
          <w:lang w:val="en-GB"/>
        </w:rPr>
      </w:r>
      <w:r w:rsidR="00447CBE">
        <w:rPr>
          <w:rFonts w:ascii="Times New Roman" w:eastAsia="Times New Roman" w:hAnsi="Times New Roman" w:cs="Times New Roman"/>
          <w:color w:val="000000"/>
          <w:sz w:val="16"/>
          <w:szCs w:val="16"/>
          <w:lang w:val="en-GB"/>
        </w:rPr>
        <w:fldChar w:fldCharType="separate"/>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color w:val="000000"/>
          <w:sz w:val="16"/>
          <w:szCs w:val="16"/>
          <w:lang w:val="en-GB"/>
        </w:rPr>
        <w:fldChar w:fldCharType="end"/>
      </w:r>
      <w:bookmarkEnd w:id="8"/>
      <w:r w:rsidRPr="000B7A1B">
        <w:rPr>
          <w:rFonts w:ascii="Times New Roman" w:eastAsia="Times New Roman" w:hAnsi="Times New Roman" w:cs="Times New Roman"/>
          <w:color w:val="000000"/>
          <w:sz w:val="16"/>
          <w:szCs w:val="16"/>
          <w:lang w:val="en-GB"/>
        </w:rPr>
        <w:t>(</w:t>
      </w:r>
      <w:r w:rsidRPr="000B7A1B">
        <w:rPr>
          <w:rFonts w:ascii="Times New Roman" w:eastAsia="Times New Roman" w:hAnsi="Times New Roman" w:cs="Times New Roman"/>
          <w:i/>
          <w:iCs/>
          <w:color w:val="000000"/>
          <w:sz w:val="16"/>
          <w:szCs w:val="16"/>
          <w:lang w:val="en-GB"/>
        </w:rPr>
        <w:t>specify Member State</w:t>
      </w:r>
      <w:r w:rsidRPr="000B7A1B">
        <w:rPr>
          <w:rFonts w:ascii="Times New Roman" w:eastAsia="Times New Roman" w:hAnsi="Times New Roman" w:cs="Times New Roman"/>
          <w:color w:val="000000"/>
          <w:sz w:val="16"/>
          <w:szCs w:val="16"/>
          <w:lang w:val="en-GB"/>
        </w:rPr>
        <w:t>).]</w:t>
      </w:r>
    </w:p>
    <w:p w14:paraId="72C352A0" w14:textId="5EF6C0C4"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lastRenderedPageBreak/>
        <w:t xml:space="preserve">[OPTION 2 (for Modules Two and Three):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00447CBE">
        <w:rPr>
          <w:rFonts w:ascii="Times New Roman" w:eastAsia="Times New Roman" w:hAnsi="Times New Roman" w:cs="Times New Roman"/>
          <w:color w:val="000000"/>
          <w:sz w:val="16"/>
          <w:szCs w:val="16"/>
          <w:lang w:val="en-GB"/>
        </w:rPr>
        <w:fldChar w:fldCharType="begin">
          <w:ffData>
            <w:name w:val="Text8"/>
            <w:enabled/>
            <w:calcOnExit w:val="0"/>
            <w:textInput/>
          </w:ffData>
        </w:fldChar>
      </w:r>
      <w:bookmarkStart w:id="9" w:name="Text8"/>
      <w:r w:rsidR="00447CBE">
        <w:rPr>
          <w:rFonts w:ascii="Times New Roman" w:eastAsia="Times New Roman" w:hAnsi="Times New Roman" w:cs="Times New Roman"/>
          <w:color w:val="000000"/>
          <w:sz w:val="16"/>
          <w:szCs w:val="16"/>
          <w:lang w:val="en-GB"/>
        </w:rPr>
        <w:instrText xml:space="preserve"> FORMTEXT </w:instrText>
      </w:r>
      <w:r w:rsidR="00447CBE">
        <w:rPr>
          <w:rFonts w:ascii="Times New Roman" w:eastAsia="Times New Roman" w:hAnsi="Times New Roman" w:cs="Times New Roman"/>
          <w:color w:val="000000"/>
          <w:sz w:val="16"/>
          <w:szCs w:val="16"/>
          <w:lang w:val="en-GB"/>
        </w:rPr>
      </w:r>
      <w:r w:rsidR="00447CBE">
        <w:rPr>
          <w:rFonts w:ascii="Times New Roman" w:eastAsia="Times New Roman" w:hAnsi="Times New Roman" w:cs="Times New Roman"/>
          <w:color w:val="000000"/>
          <w:sz w:val="16"/>
          <w:szCs w:val="16"/>
          <w:lang w:val="en-GB"/>
        </w:rPr>
        <w:fldChar w:fldCharType="separate"/>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noProof/>
          <w:color w:val="000000"/>
          <w:sz w:val="16"/>
          <w:szCs w:val="16"/>
          <w:lang w:val="en-GB"/>
        </w:rPr>
        <w:t> </w:t>
      </w:r>
      <w:r w:rsidR="00447CBE">
        <w:rPr>
          <w:rFonts w:ascii="Times New Roman" w:eastAsia="Times New Roman" w:hAnsi="Times New Roman" w:cs="Times New Roman"/>
          <w:color w:val="000000"/>
          <w:sz w:val="16"/>
          <w:szCs w:val="16"/>
          <w:lang w:val="en-GB"/>
        </w:rPr>
        <w:fldChar w:fldCharType="end"/>
      </w:r>
      <w:bookmarkEnd w:id="9"/>
      <w:r w:rsidRPr="000B7A1B">
        <w:rPr>
          <w:rFonts w:ascii="Times New Roman" w:eastAsia="Times New Roman" w:hAnsi="Times New Roman" w:cs="Times New Roman"/>
          <w:color w:val="000000"/>
          <w:sz w:val="16"/>
          <w:szCs w:val="16"/>
          <w:lang w:val="en-GB"/>
        </w:rPr>
        <w:t>(</w:t>
      </w:r>
      <w:r w:rsidRPr="000B7A1B">
        <w:rPr>
          <w:rFonts w:ascii="Times New Roman" w:eastAsia="Times New Roman" w:hAnsi="Times New Roman" w:cs="Times New Roman"/>
          <w:i/>
          <w:iCs/>
          <w:color w:val="000000"/>
          <w:sz w:val="16"/>
          <w:szCs w:val="16"/>
          <w:lang w:val="en-GB"/>
        </w:rPr>
        <w:t>specify Member State</w:t>
      </w:r>
      <w:r w:rsidRPr="000B7A1B">
        <w:rPr>
          <w:rFonts w:ascii="Times New Roman" w:eastAsia="Times New Roman" w:hAnsi="Times New Roman" w:cs="Times New Roman"/>
          <w:color w:val="000000"/>
          <w:sz w:val="16"/>
          <w:szCs w:val="16"/>
          <w:lang w:val="en-GB"/>
        </w:rPr>
        <w:t>).]</w:t>
      </w:r>
    </w:p>
    <w:p w14:paraId="4A45B3C5"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18</w:t>
      </w:r>
    </w:p>
    <w:p w14:paraId="6F0E58EA"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Choice of forum and jurisdiction</w:t>
      </w:r>
    </w:p>
    <w:p w14:paraId="14760CB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4924" w:type="pct"/>
        <w:tblCellMar>
          <w:left w:w="0" w:type="dxa"/>
          <w:right w:w="0" w:type="dxa"/>
        </w:tblCellMar>
        <w:tblLook w:val="04A0" w:firstRow="1" w:lastRow="0" w:firstColumn="1" w:lastColumn="0" w:noHBand="0" w:noVBand="1"/>
      </w:tblPr>
      <w:tblGrid>
        <w:gridCol w:w="360"/>
        <w:gridCol w:w="8769"/>
      </w:tblGrid>
      <w:tr w:rsidR="000B7A1B" w:rsidRPr="000B7A1B" w14:paraId="0ABF26F8" w14:textId="77777777" w:rsidTr="004A37BE">
        <w:tc>
          <w:tcPr>
            <w:tcW w:w="197" w:type="pct"/>
            <w:shd w:val="clear" w:color="auto" w:fill="auto"/>
            <w:hideMark/>
          </w:tcPr>
          <w:p w14:paraId="0FD3485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378BD6E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Any dispute arising from these Clauses shall be resolved by the courts of an EU Member State.</w:t>
            </w:r>
          </w:p>
        </w:tc>
      </w:tr>
    </w:tbl>
    <w:p w14:paraId="6246B88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4876" w:type="pct"/>
        <w:tblCellMar>
          <w:left w:w="0" w:type="dxa"/>
          <w:right w:w="0" w:type="dxa"/>
        </w:tblCellMar>
        <w:tblLook w:val="04A0" w:firstRow="1" w:lastRow="0" w:firstColumn="1" w:lastColumn="0" w:noHBand="0" w:noVBand="1"/>
      </w:tblPr>
      <w:tblGrid>
        <w:gridCol w:w="367"/>
        <w:gridCol w:w="8673"/>
      </w:tblGrid>
      <w:tr w:rsidR="000B7A1B" w:rsidRPr="000B7A1B" w14:paraId="7380D887" w14:textId="77777777" w:rsidTr="004A37BE">
        <w:tc>
          <w:tcPr>
            <w:tcW w:w="203" w:type="pct"/>
            <w:shd w:val="clear" w:color="auto" w:fill="auto"/>
            <w:hideMark/>
          </w:tcPr>
          <w:p w14:paraId="4E221B5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0D7F9B98" w14:textId="02CE2EC6" w:rsidR="000B7A1B" w:rsidRPr="000B7A1B" w:rsidRDefault="000B7A1B" w:rsidP="000B7A1B">
            <w:pPr>
              <w:spacing w:before="120" w:after="0" w:line="240" w:lineRule="auto"/>
              <w:ind w:left="199"/>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that those shall be the courts of _____</w:t>
            </w:r>
            <w:r w:rsidR="00AB020A">
              <w:rPr>
                <w:rFonts w:ascii="Times New Roman" w:eastAsia="Times New Roman" w:hAnsi="Times New Roman" w:cs="Times New Roman"/>
                <w:sz w:val="16"/>
                <w:szCs w:val="16"/>
                <w:lang w:val="en-GB"/>
              </w:rPr>
              <w:t xml:space="preserve">_____________ </w:t>
            </w:r>
            <w:r w:rsidRPr="000B7A1B">
              <w:rPr>
                <w:rFonts w:ascii="Times New Roman" w:eastAsia="Times New Roman" w:hAnsi="Times New Roman" w:cs="Times New Roman"/>
                <w:sz w:val="16"/>
                <w:szCs w:val="16"/>
                <w:lang w:val="en-GB"/>
              </w:rPr>
              <w:t>(</w:t>
            </w:r>
            <w:r w:rsidRPr="000B7A1B">
              <w:rPr>
                <w:rFonts w:ascii="Times New Roman" w:eastAsia="Times New Roman" w:hAnsi="Times New Roman" w:cs="Times New Roman"/>
                <w:i/>
                <w:iCs/>
                <w:sz w:val="16"/>
                <w:szCs w:val="16"/>
                <w:lang w:val="en-GB"/>
              </w:rPr>
              <w:t>specify Member State</w:t>
            </w:r>
            <w:r w:rsidRPr="000B7A1B">
              <w:rPr>
                <w:rFonts w:ascii="Times New Roman" w:eastAsia="Times New Roman" w:hAnsi="Times New Roman" w:cs="Times New Roman"/>
                <w:sz w:val="16"/>
                <w:szCs w:val="16"/>
                <w:lang w:val="en-GB"/>
              </w:rPr>
              <w:t>).</w:t>
            </w:r>
          </w:p>
        </w:tc>
      </w:tr>
    </w:tbl>
    <w:p w14:paraId="30FFA9B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D462A15" w14:textId="77777777" w:rsidTr="0054649A">
        <w:tc>
          <w:tcPr>
            <w:tcW w:w="0" w:type="auto"/>
            <w:shd w:val="clear" w:color="auto" w:fill="auto"/>
            <w:hideMark/>
          </w:tcPr>
          <w:p w14:paraId="5B1F39F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5800443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 data subject may also bring legal proceedings against the data exporter and/or data importer before the courts of the Member State in which he/she has his/her habitual residence.</w:t>
            </w:r>
          </w:p>
        </w:tc>
      </w:tr>
    </w:tbl>
    <w:p w14:paraId="27C92645"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4845" w:type="pct"/>
        <w:tblCellMar>
          <w:left w:w="0" w:type="dxa"/>
          <w:right w:w="0" w:type="dxa"/>
        </w:tblCellMar>
        <w:tblLook w:val="04A0" w:firstRow="1" w:lastRow="0" w:firstColumn="1" w:lastColumn="0" w:noHBand="0" w:noVBand="1"/>
      </w:tblPr>
      <w:tblGrid>
        <w:gridCol w:w="367"/>
        <w:gridCol w:w="8616"/>
      </w:tblGrid>
      <w:tr w:rsidR="000B7A1B" w:rsidRPr="000B7A1B" w14:paraId="40F3897D" w14:textId="77777777" w:rsidTr="004A37BE">
        <w:tc>
          <w:tcPr>
            <w:tcW w:w="204" w:type="pct"/>
            <w:shd w:val="clear" w:color="auto" w:fill="auto"/>
            <w:hideMark/>
          </w:tcPr>
          <w:p w14:paraId="6ACDF93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7ADE65C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to submit themselves to the jurisdiction of such courts.</w:t>
            </w:r>
          </w:p>
        </w:tc>
      </w:tr>
    </w:tbl>
    <w:p w14:paraId="59EE6689" w14:textId="77777777" w:rsidR="000B7A1B" w:rsidRPr="000B7A1B" w:rsidRDefault="008B056F" w:rsidP="000B7A1B">
      <w:pPr>
        <w:shd w:val="clear" w:color="auto" w:fill="FFFFFF"/>
        <w:spacing w:before="240" w:after="60" w:line="240" w:lineRule="auto"/>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pict w14:anchorId="3F21FE07">
          <v:rect id="_x0000_i1025" style="width:133.25pt;height:.75pt" o:hrpct="0" o:hrstd="t" o:hrnoshade="t" o:hr="t" fillcolor="black" stroked="f"/>
        </w:pict>
      </w:r>
    </w:p>
    <w:p w14:paraId="29E085B7"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17" w:anchor="ntc1-L_2021199EN.01003701-E0001"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8" w:history="1">
        <w:r w:rsidR="000B7A1B" w:rsidRPr="000B7A1B">
          <w:rPr>
            <w:rFonts w:ascii="Times New Roman" w:eastAsia="Times New Roman" w:hAnsi="Times New Roman" w:cs="Times New Roman"/>
            <w:color w:val="3366CC"/>
            <w:sz w:val="16"/>
            <w:szCs w:val="16"/>
            <w:lang w:val="en-GB"/>
          </w:rPr>
          <w:t>OJ L 295, 21.11.2018, p. 39</w:t>
        </w:r>
      </w:hyperlink>
      <w:r w:rsidR="000B7A1B" w:rsidRPr="000B7A1B">
        <w:rPr>
          <w:rFonts w:ascii="Times New Roman" w:eastAsia="Times New Roman" w:hAnsi="Times New Roman" w:cs="Times New Roman"/>
          <w:color w:val="000000"/>
          <w:sz w:val="16"/>
          <w:szCs w:val="16"/>
          <w:lang w:val="en-GB"/>
        </w:rPr>
        <w:t xml:space="preserve">), to the extent these Clauses and the data protection obligations as set out in the contract or other legal act between the controller and the processor pursuant to Article 29(3) of Regulation (EU) 2018/1725 are aligned. This will </w:t>
      </w:r>
      <w:proofErr w:type="gramStart"/>
      <w:r w:rsidR="000B7A1B" w:rsidRPr="000B7A1B">
        <w:rPr>
          <w:rFonts w:ascii="Times New Roman" w:eastAsia="Times New Roman" w:hAnsi="Times New Roman" w:cs="Times New Roman"/>
          <w:color w:val="000000"/>
          <w:sz w:val="16"/>
          <w:szCs w:val="16"/>
          <w:lang w:val="en-GB"/>
        </w:rPr>
        <w:t>in particular be</w:t>
      </w:r>
      <w:proofErr w:type="gramEnd"/>
      <w:r w:rsidR="000B7A1B" w:rsidRPr="000B7A1B">
        <w:rPr>
          <w:rFonts w:ascii="Times New Roman" w:eastAsia="Times New Roman" w:hAnsi="Times New Roman" w:cs="Times New Roman"/>
          <w:color w:val="000000"/>
          <w:sz w:val="16"/>
          <w:szCs w:val="16"/>
          <w:lang w:val="en-GB"/>
        </w:rPr>
        <w:t xml:space="preserve"> the case where the controller and processor rely on the standard contractual clauses included in Decision 2021/915.</w:t>
      </w:r>
    </w:p>
    <w:p w14:paraId="25767F32"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19" w:anchor="ntc2-L_2021199EN.01003701-E0002"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2</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requires rendering the data anonymous in such a way that the individual is no longer identifiable by anyone, in line with recital 26 of Regulation (EU) 2016/679, and that this process is irreversible.</w:t>
      </w:r>
    </w:p>
    <w:p w14:paraId="4DFA601A"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0" w:anchor="ntc3-L_2021199EN.01003701-E0003"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3</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1945B577"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1" w:anchor="ntc4-L_2021199EN.01003701-E0004"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4</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224F5EEA"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2" w:anchor="ntc5-L_2021199EN.01003701-E0005"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5</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See Article 28(4) of Regulation (EU) 2016/679 and, where the controller is an EU institution or body, Article 29(4) of Regulation (EU) 2018/1725.</w:t>
      </w:r>
    </w:p>
    <w:p w14:paraId="59F8F1D3"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3" w:anchor="ntc6-L_2021199EN.01003701-E0006"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6</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p w14:paraId="3E621C0C"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4" w:anchor="ntc7-L_2021199EN.01003701-E0007"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7</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p w14:paraId="54DABD84"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5" w:anchor="ntc8-L_2021199EN.01003701-E0008"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8</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requirement may be satisfied by the sub-processor acceding to these Clauses under the appropriate Module, in accordance with Clause 7.</w:t>
      </w:r>
    </w:p>
    <w:p w14:paraId="66A563E4"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6" w:anchor="ntc9-L_2021199EN.01003701-E0009"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9</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requirement may be satisfied by the sub-processor acceding to these Clauses under the appropriate Module, in accordance with Clause 7.</w:t>
      </w:r>
    </w:p>
    <w:p w14:paraId="71F61417"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7" w:anchor="ntc10-L_2021199EN.01003701-E0010"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10</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xml:space="preserve">  That period may be extended by a maximum of two more months, to the extent necessary </w:t>
      </w:r>
      <w:proofErr w:type="gramStart"/>
      <w:r w:rsidR="000B7A1B" w:rsidRPr="000B7A1B">
        <w:rPr>
          <w:rFonts w:ascii="Times New Roman" w:eastAsia="Times New Roman" w:hAnsi="Times New Roman" w:cs="Times New Roman"/>
          <w:color w:val="000000"/>
          <w:sz w:val="16"/>
          <w:szCs w:val="16"/>
          <w:lang w:val="en-GB"/>
        </w:rPr>
        <w:t>taking into account</w:t>
      </w:r>
      <w:proofErr w:type="gramEnd"/>
      <w:r w:rsidR="000B7A1B" w:rsidRPr="000B7A1B">
        <w:rPr>
          <w:rFonts w:ascii="Times New Roman" w:eastAsia="Times New Roman" w:hAnsi="Times New Roman" w:cs="Times New Roman"/>
          <w:color w:val="000000"/>
          <w:sz w:val="16"/>
          <w:szCs w:val="16"/>
          <w:lang w:val="en-GB"/>
        </w:rPr>
        <w:t xml:space="preserve"> the complexity and number of requests. The data importer shall duly and promptly inform the data subject of any such extension.</w:t>
      </w:r>
    </w:p>
    <w:p w14:paraId="086DB6A3"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8" w:anchor="ntc11-L_2021199EN.01003701-E0011"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11</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data importer may offer independent dispute resolution through an arbitration body only if it is established in a country that has ratified the New York Convention on Enforcement of Arbitration Awards.</w:t>
      </w:r>
    </w:p>
    <w:p w14:paraId="74043D7D" w14:textId="77777777" w:rsidR="000B7A1B" w:rsidRPr="000B7A1B" w:rsidRDefault="008B056F"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9" w:anchor="ntc12-L_2021199EN.01003701-E0012"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12</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w:t>
      </w:r>
      <w:proofErr w:type="gramStart"/>
      <w:r w:rsidR="000B7A1B" w:rsidRPr="000B7A1B">
        <w:rPr>
          <w:rFonts w:ascii="Times New Roman" w:eastAsia="Times New Roman" w:hAnsi="Times New Roman" w:cs="Times New Roman"/>
          <w:color w:val="000000"/>
          <w:sz w:val="16"/>
          <w:szCs w:val="16"/>
          <w:lang w:val="en-GB"/>
        </w:rPr>
        <w:t>time-frame</w:t>
      </w:r>
      <w:proofErr w:type="gramEnd"/>
      <w:r w:rsidR="000B7A1B" w:rsidRPr="000B7A1B">
        <w:rPr>
          <w:rFonts w:ascii="Times New Roman" w:eastAsia="Times New Roman" w:hAnsi="Times New Roman" w:cs="Times New Roman"/>
          <w:color w:val="000000"/>
          <w:sz w:val="16"/>
          <w:szCs w:val="16"/>
          <w:lang w:val="en-GB"/>
        </w:rPr>
        <w:t xml:space="preserve">. This refers </w:t>
      </w:r>
      <w:proofErr w:type="gramStart"/>
      <w:r w:rsidR="000B7A1B" w:rsidRPr="000B7A1B">
        <w:rPr>
          <w:rFonts w:ascii="Times New Roman" w:eastAsia="Times New Roman" w:hAnsi="Times New Roman" w:cs="Times New Roman"/>
          <w:color w:val="000000"/>
          <w:sz w:val="16"/>
          <w:szCs w:val="16"/>
          <w:lang w:val="en-GB"/>
        </w:rPr>
        <w:t>in particular to</w:t>
      </w:r>
      <w:proofErr w:type="gramEnd"/>
      <w:r w:rsidR="000B7A1B" w:rsidRPr="000B7A1B">
        <w:rPr>
          <w:rFonts w:ascii="Times New Roman" w:eastAsia="Times New Roman" w:hAnsi="Times New Roman" w:cs="Times New Roman"/>
          <w:color w:val="000000"/>
          <w:sz w:val="16"/>
          <w:szCs w:val="16"/>
          <w:lang w:val="en-GB"/>
        </w:rPr>
        <w:t xml:space="preserve">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w:t>
      </w:r>
      <w:proofErr w:type="gramStart"/>
      <w:r w:rsidR="000B7A1B" w:rsidRPr="000B7A1B">
        <w:rPr>
          <w:rFonts w:ascii="Times New Roman" w:eastAsia="Times New Roman" w:hAnsi="Times New Roman" w:cs="Times New Roman"/>
          <w:color w:val="000000"/>
          <w:sz w:val="16"/>
          <w:szCs w:val="16"/>
          <w:lang w:val="en-GB"/>
        </w:rPr>
        <w:t>have to</w:t>
      </w:r>
      <w:proofErr w:type="gramEnd"/>
      <w:r w:rsidR="000B7A1B" w:rsidRPr="000B7A1B">
        <w:rPr>
          <w:rFonts w:ascii="Times New Roman" w:eastAsia="Times New Roman" w:hAnsi="Times New Roman" w:cs="Times New Roman"/>
          <w:color w:val="000000"/>
          <w:sz w:val="16"/>
          <w:szCs w:val="16"/>
          <w:lang w:val="en-GB"/>
        </w:rPr>
        <w:t xml:space="preserve"> take into account whether their practical experience is corroborated and not contradicted by publicly available or </w:t>
      </w:r>
      <w:r w:rsidR="000B7A1B" w:rsidRPr="000B7A1B">
        <w:rPr>
          <w:rFonts w:ascii="Times New Roman" w:eastAsia="Times New Roman" w:hAnsi="Times New Roman" w:cs="Times New Roman"/>
          <w:color w:val="000000"/>
          <w:sz w:val="16"/>
          <w:szCs w:val="16"/>
          <w:lang w:val="en-GB"/>
        </w:rPr>
        <w:lastRenderedPageBreak/>
        <w:t>otherwise accessible, reliable information on the existence or absence of requests within the same sector and/or the application of the law in practice, such as case law and reports by independent oversight bodies.</w:t>
      </w:r>
    </w:p>
    <w:p w14:paraId="61B7E00A" w14:textId="77777777" w:rsidR="000B7A1B" w:rsidRPr="000B7A1B" w:rsidRDefault="008B056F"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pict w14:anchorId="161B2FE8">
          <v:rect id="_x0000_i1026" style="width:66.65pt;height:.75pt" o:hrpct="0" o:hralign="center" o:hrstd="t" o:hrnoshade="t" o:hr="t" fillcolor="black" stroked="f"/>
        </w:pict>
      </w:r>
    </w:p>
    <w:p w14:paraId="661AD4BE"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APPENDIX</w:t>
      </w:r>
    </w:p>
    <w:p w14:paraId="2E60798E"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EXPLANATORY NOTE:</w:t>
      </w:r>
    </w:p>
    <w:p w14:paraId="46241214"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proofErr w:type="gramStart"/>
      <w:r w:rsidRPr="000B7A1B">
        <w:rPr>
          <w:rFonts w:ascii="Times New Roman" w:eastAsia="Times New Roman" w:hAnsi="Times New Roman" w:cs="Times New Roman"/>
          <w:color w:val="000000"/>
          <w:sz w:val="16"/>
          <w:szCs w:val="16"/>
          <w:lang w:val="en-GB"/>
        </w:rPr>
        <w:t>achieved</w:t>
      </w:r>
      <w:proofErr w:type="gramEnd"/>
      <w:r w:rsidRPr="000B7A1B">
        <w:rPr>
          <w:rFonts w:ascii="Times New Roman" w:eastAsia="Times New Roman" w:hAnsi="Times New Roman" w:cs="Times New Roman"/>
          <w:color w:val="000000"/>
          <w:sz w:val="16"/>
          <w:szCs w:val="16"/>
          <w:lang w:val="en-GB"/>
        </w:rPr>
        <w:t xml:space="preserve"> through one appendix. However, where necessary to ensure sufficient clarity, separate appendices should be used.</w:t>
      </w:r>
    </w:p>
    <w:p w14:paraId="70D66CC5"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br w:type="page"/>
      </w:r>
    </w:p>
    <w:p w14:paraId="6D17A3CC" w14:textId="77777777" w:rsidR="000B7A1B" w:rsidRPr="000B7A1B" w:rsidRDefault="008B056F"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lastRenderedPageBreak/>
        <w:pict w14:anchorId="2C099732">
          <v:rect id="_x0000_i1027" style="width:66.65pt;height:.75pt" o:hrpct="0" o:hralign="center" o:hrstd="t" o:hrnoshade="t" o:hr="t" fillcolor="black" stroked="f"/>
        </w:pict>
      </w:r>
    </w:p>
    <w:p w14:paraId="3EF3A80B"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 I</w:t>
      </w:r>
    </w:p>
    <w:p w14:paraId="24828D3B"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   LIST OF PARTIES</w:t>
      </w:r>
    </w:p>
    <w:p w14:paraId="3F70E51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6911FA0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Data exporter(s):</w:t>
      </w:r>
      <w:r w:rsidRPr="000B7A1B">
        <w:rPr>
          <w:rFonts w:ascii="Times New Roman" w:eastAsia="Times New Roman" w:hAnsi="Times New Roman" w:cs="Times New Roman"/>
          <w:color w:val="000000"/>
          <w:sz w:val="16"/>
          <w:szCs w:val="16"/>
          <w:lang w:val="en-GB"/>
        </w:rPr>
        <w:t> [</w:t>
      </w:r>
      <w:r w:rsidRPr="000B7A1B">
        <w:rPr>
          <w:rFonts w:ascii="Times New Roman" w:eastAsia="Times New Roman" w:hAnsi="Times New Roman" w:cs="Times New Roman"/>
          <w:i/>
          <w:iCs/>
          <w:color w:val="000000"/>
          <w:sz w:val="16"/>
          <w:szCs w:val="16"/>
          <w:lang w:val="en-GB"/>
        </w:rPr>
        <w:t>Identity and contact details of the data exporter(s) and, where applicable, of its/their data protection officer and/or representative in the European Union]</w:t>
      </w:r>
    </w:p>
    <w:tbl>
      <w:tblPr>
        <w:tblW w:w="5000" w:type="pct"/>
        <w:tblCellMar>
          <w:left w:w="0" w:type="dxa"/>
          <w:right w:w="0" w:type="dxa"/>
        </w:tblCellMar>
        <w:tblLook w:val="04A0" w:firstRow="1" w:lastRow="0" w:firstColumn="1" w:lastColumn="0" w:noHBand="0" w:noVBand="1"/>
      </w:tblPr>
      <w:tblGrid>
        <w:gridCol w:w="14"/>
        <w:gridCol w:w="271"/>
        <w:gridCol w:w="8985"/>
      </w:tblGrid>
      <w:tr w:rsidR="000B7A1B" w:rsidRPr="000B7A1B" w14:paraId="5C9292C9" w14:textId="77777777" w:rsidTr="0054649A">
        <w:tc>
          <w:tcPr>
            <w:tcW w:w="0" w:type="auto"/>
            <w:shd w:val="clear" w:color="auto" w:fill="auto"/>
            <w:hideMark/>
          </w:tcPr>
          <w:p w14:paraId="71B1A160" w14:textId="77777777" w:rsidR="000B7A1B" w:rsidRPr="000B7A1B" w:rsidRDefault="000B7A1B" w:rsidP="000B7A1B">
            <w:pPr>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4688E0FA"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1.</w:t>
            </w:r>
          </w:p>
        </w:tc>
        <w:tc>
          <w:tcPr>
            <w:tcW w:w="0" w:type="auto"/>
            <w:shd w:val="clear" w:color="auto" w:fill="auto"/>
            <w:hideMark/>
          </w:tcPr>
          <w:p w14:paraId="0C2BAF77" w14:textId="7297B53B"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Name:</w:t>
            </w:r>
          </w:p>
          <w:p w14:paraId="02F71724" w14:textId="3AE51D46"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Address: </w:t>
            </w:r>
          </w:p>
          <w:p w14:paraId="5C3F6850" w14:textId="41108395"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Contact person’s name, position and contact details: </w:t>
            </w:r>
          </w:p>
          <w:p w14:paraId="0791B3AA" w14:textId="3194BB61"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Activities relevant to the data transferred under these Clauses: </w:t>
            </w:r>
          </w:p>
          <w:p w14:paraId="784A3A61" w14:textId="77777777" w:rsidR="004A37BE" w:rsidRDefault="000B7A1B" w:rsidP="004A37BE">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Signature and date: </w:t>
            </w:r>
          </w:p>
          <w:p w14:paraId="3076E742" w14:textId="00167319" w:rsidR="000B7A1B" w:rsidRPr="000B7A1B" w:rsidRDefault="000B7A1B" w:rsidP="004A37BE">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Role (controller/processor): controller</w:t>
            </w:r>
          </w:p>
        </w:tc>
      </w:tr>
    </w:tbl>
    <w:p w14:paraId="7E16119E" w14:textId="77777777" w:rsidR="000B7A1B" w:rsidRPr="000B7A1B" w:rsidRDefault="000B7A1B" w:rsidP="000B7A1B">
      <w:pPr>
        <w:shd w:val="clear" w:color="auto" w:fill="FFFFFF"/>
        <w:spacing w:after="0" w:line="240" w:lineRule="auto"/>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87"/>
        <w:gridCol w:w="6873"/>
        <w:gridCol w:w="2310"/>
      </w:tblGrid>
      <w:tr w:rsidR="000B7A1B" w:rsidRPr="000B7A1B" w14:paraId="5CFF4DE3" w14:textId="77777777" w:rsidTr="0054649A">
        <w:tc>
          <w:tcPr>
            <w:tcW w:w="0" w:type="auto"/>
            <w:shd w:val="clear" w:color="auto" w:fill="auto"/>
            <w:hideMark/>
          </w:tcPr>
          <w:p w14:paraId="2FAECA1E" w14:textId="77777777" w:rsidR="000B7A1B" w:rsidRPr="000B7A1B" w:rsidRDefault="000B7A1B" w:rsidP="000B7A1B">
            <w:pPr>
              <w:shd w:val="clear" w:color="auto" w:fill="FFFFFF"/>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5F8CB424"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2.  N/A</w:t>
            </w:r>
          </w:p>
        </w:tc>
        <w:tc>
          <w:tcPr>
            <w:tcW w:w="0" w:type="auto"/>
            <w:shd w:val="clear" w:color="auto" w:fill="auto"/>
            <w:hideMark/>
          </w:tcPr>
          <w:p w14:paraId="33E7C1B7"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t>
            </w:r>
          </w:p>
        </w:tc>
      </w:tr>
    </w:tbl>
    <w:p w14:paraId="495BF773"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Data importer(s):</w:t>
      </w:r>
      <w:r w:rsidRPr="000B7A1B">
        <w:rPr>
          <w:rFonts w:ascii="Times New Roman" w:eastAsia="Times New Roman" w:hAnsi="Times New Roman" w:cs="Times New Roman"/>
          <w:color w:val="000000"/>
          <w:sz w:val="16"/>
          <w:szCs w:val="16"/>
          <w:lang w:val="en-GB"/>
        </w:rPr>
        <w:t> [</w:t>
      </w:r>
      <w:r w:rsidRPr="000B7A1B">
        <w:rPr>
          <w:rFonts w:ascii="Times New Roman" w:eastAsia="Times New Roman" w:hAnsi="Times New Roman" w:cs="Times New Roman"/>
          <w:i/>
          <w:iCs/>
          <w:color w:val="000000"/>
          <w:sz w:val="16"/>
          <w:szCs w:val="16"/>
          <w:lang w:val="en-GB"/>
        </w:rPr>
        <w:t>Identity and contact details of the data importer(s), including any contact person with responsibility for data protection]</w:t>
      </w:r>
    </w:p>
    <w:tbl>
      <w:tblPr>
        <w:tblW w:w="5000" w:type="pct"/>
        <w:tblCellMar>
          <w:left w:w="0" w:type="dxa"/>
          <w:right w:w="0" w:type="dxa"/>
        </w:tblCellMar>
        <w:tblLook w:val="04A0" w:firstRow="1" w:lastRow="0" w:firstColumn="1" w:lastColumn="0" w:noHBand="0" w:noVBand="1"/>
      </w:tblPr>
      <w:tblGrid>
        <w:gridCol w:w="9"/>
        <w:gridCol w:w="180"/>
        <w:gridCol w:w="9081"/>
      </w:tblGrid>
      <w:tr w:rsidR="000B7A1B" w:rsidRPr="000B7A1B" w14:paraId="3B48BDEB" w14:textId="77777777" w:rsidTr="0054649A">
        <w:tc>
          <w:tcPr>
            <w:tcW w:w="0" w:type="auto"/>
            <w:shd w:val="clear" w:color="auto" w:fill="auto"/>
            <w:hideMark/>
          </w:tcPr>
          <w:p w14:paraId="6830C586" w14:textId="77777777" w:rsidR="000B7A1B" w:rsidRPr="000B7A1B" w:rsidRDefault="000B7A1B" w:rsidP="000B7A1B">
            <w:pPr>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3216A236"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1.</w:t>
            </w:r>
          </w:p>
        </w:tc>
        <w:tc>
          <w:tcPr>
            <w:tcW w:w="0" w:type="auto"/>
            <w:shd w:val="clear" w:color="auto" w:fill="auto"/>
            <w:hideMark/>
          </w:tcPr>
          <w:p w14:paraId="2959C71D"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Name: Cvent, Inc, on behalf of itself and its </w:t>
            </w:r>
            <w:proofErr w:type="gramStart"/>
            <w:r w:rsidRPr="000B7A1B">
              <w:rPr>
                <w:rFonts w:ascii="Times New Roman" w:eastAsia="Times New Roman" w:hAnsi="Times New Roman" w:cs="Times New Roman"/>
                <w:sz w:val="16"/>
                <w:szCs w:val="16"/>
                <w:lang w:val="en-GB"/>
              </w:rPr>
              <w:t>wholly-owned</w:t>
            </w:r>
            <w:proofErr w:type="gramEnd"/>
            <w:r w:rsidRPr="000B7A1B">
              <w:rPr>
                <w:rFonts w:ascii="Times New Roman" w:eastAsia="Times New Roman" w:hAnsi="Times New Roman" w:cs="Times New Roman"/>
                <w:sz w:val="16"/>
                <w:szCs w:val="16"/>
                <w:lang w:val="en-GB"/>
              </w:rPr>
              <w:t xml:space="preserve"> Affiliates.</w:t>
            </w:r>
          </w:p>
          <w:p w14:paraId="743860AC"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Address: </w:t>
            </w:r>
            <w:bookmarkStart w:id="10" w:name="_Hlk104971198"/>
            <w:r w:rsidRPr="000B7A1B">
              <w:rPr>
                <w:rFonts w:ascii="Times New Roman" w:eastAsia="Times New Roman" w:hAnsi="Times New Roman" w:cs="Times New Roman"/>
                <w:sz w:val="16"/>
                <w:szCs w:val="16"/>
                <w:lang w:val="en-GB"/>
              </w:rPr>
              <w:t>1765 Greensboro Station Place, Suite 700, Tysons Corner, VA 22102</w:t>
            </w:r>
          </w:p>
          <w:bookmarkEnd w:id="10"/>
          <w:p w14:paraId="31E1AF14" w14:textId="572F953E"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Contact person’s name, position and contact details: </w:t>
            </w:r>
            <w:bookmarkStart w:id="11" w:name="_Hlk104971209"/>
            <w:r w:rsidR="004A37BE" w:rsidRPr="004A37BE">
              <w:rPr>
                <w:rFonts w:ascii="Times New Roman" w:hAnsi="Times New Roman" w:cs="Times New Roman"/>
                <w:sz w:val="16"/>
                <w:szCs w:val="16"/>
                <w:lang w:val="en-GB"/>
              </w:rPr>
              <w:t>Edwin Y. Szeto</w:t>
            </w:r>
            <w:r w:rsidRPr="000B7A1B">
              <w:rPr>
                <w:rFonts w:ascii="Times New Roman" w:eastAsia="Times New Roman" w:hAnsi="Times New Roman" w:cs="Times New Roman"/>
                <w:sz w:val="16"/>
                <w:szCs w:val="16"/>
                <w:lang w:val="en-GB"/>
              </w:rPr>
              <w:t xml:space="preserve">, </w:t>
            </w:r>
            <w:r w:rsidR="004A37BE">
              <w:rPr>
                <w:rFonts w:ascii="Times New Roman" w:eastAsia="Times New Roman" w:hAnsi="Times New Roman" w:cs="Times New Roman"/>
                <w:sz w:val="16"/>
                <w:szCs w:val="16"/>
                <w:lang w:val="en-GB"/>
              </w:rPr>
              <w:t>Deputy General Counsel</w:t>
            </w:r>
            <w:bookmarkEnd w:id="11"/>
          </w:p>
          <w:p w14:paraId="3A067133"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Activities relevant to the data transferred under these Clauses: </w:t>
            </w:r>
          </w:p>
          <w:p w14:paraId="243190B0" w14:textId="5B314861"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Signature and date: …</w:t>
            </w:r>
            <w:r w:rsidR="006C58A1" w:rsidRPr="004E3D8E">
              <w:rPr>
                <w:rFonts w:ascii="Times New Roman" w:hAnsi="Times New Roman" w:cs="Times New Roman"/>
                <w:noProof/>
                <w:sz w:val="16"/>
                <w:szCs w:val="16"/>
              </w:rPr>
              <w:drawing>
                <wp:inline distT="0" distB="0" distL="0" distR="0" wp14:anchorId="0CB28DB5" wp14:editId="38F3026A">
                  <wp:extent cx="1688465" cy="3271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88465" cy="327140"/>
                          </a:xfrm>
                          <a:prstGeom prst="rect">
                            <a:avLst/>
                          </a:prstGeom>
                          <a:noFill/>
                        </pic:spPr>
                      </pic:pic>
                    </a:graphicData>
                  </a:graphic>
                </wp:inline>
              </w:drawing>
            </w:r>
          </w:p>
          <w:p w14:paraId="1C887DA4"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Role (controller/processor): processor</w:t>
            </w:r>
          </w:p>
        </w:tc>
      </w:tr>
    </w:tbl>
    <w:p w14:paraId="70AAA2D4" w14:textId="77777777" w:rsidR="000B7A1B" w:rsidRPr="000B7A1B" w:rsidRDefault="000B7A1B" w:rsidP="000B7A1B">
      <w:pPr>
        <w:shd w:val="clear" w:color="auto" w:fill="FFFFFF"/>
        <w:spacing w:after="0" w:line="240" w:lineRule="auto"/>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87"/>
        <w:gridCol w:w="6873"/>
        <w:gridCol w:w="2310"/>
      </w:tblGrid>
      <w:tr w:rsidR="000B7A1B" w:rsidRPr="000B7A1B" w14:paraId="06E86798" w14:textId="77777777" w:rsidTr="0054649A">
        <w:tc>
          <w:tcPr>
            <w:tcW w:w="0" w:type="auto"/>
            <w:shd w:val="clear" w:color="auto" w:fill="auto"/>
            <w:hideMark/>
          </w:tcPr>
          <w:p w14:paraId="5D35A3A3" w14:textId="77777777" w:rsidR="000B7A1B" w:rsidRPr="000B7A1B" w:rsidRDefault="000B7A1B" w:rsidP="000B7A1B">
            <w:pPr>
              <w:shd w:val="clear" w:color="auto" w:fill="FFFFFF"/>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6DD39188"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2.  N/A</w:t>
            </w:r>
          </w:p>
        </w:tc>
        <w:tc>
          <w:tcPr>
            <w:tcW w:w="0" w:type="auto"/>
            <w:shd w:val="clear" w:color="auto" w:fill="auto"/>
            <w:hideMark/>
          </w:tcPr>
          <w:p w14:paraId="68830F22"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t>
            </w:r>
          </w:p>
        </w:tc>
      </w:tr>
    </w:tbl>
    <w:p w14:paraId="1CDAD656"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B.   DESCRIPTION OF TRANSFER</w:t>
      </w:r>
    </w:p>
    <w:p w14:paraId="125D69D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24B2840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Categories of data subjects whose personal data is transferred</w:t>
      </w:r>
    </w:p>
    <w:p w14:paraId="31E7FC60" w14:textId="2E69A2CC" w:rsidR="000B7A1B" w:rsidRPr="006C071E" w:rsidRDefault="000B7A1B" w:rsidP="006C071E">
      <w:pPr>
        <w:spacing w:after="240" w:line="240" w:lineRule="auto"/>
        <w:jc w:val="both"/>
        <w:rPr>
          <w:rFonts w:ascii="Times New Roman" w:eastAsia="Times New Roman" w:hAnsi="Times New Roman" w:cs="Times New Roman"/>
          <w:sz w:val="16"/>
          <w:szCs w:val="16"/>
          <w:lang w:val="en-GB"/>
        </w:rPr>
      </w:pPr>
      <w:bookmarkStart w:id="12" w:name="_Hlk104971546"/>
      <w:r w:rsidRPr="006C071E">
        <w:rPr>
          <w:rFonts w:ascii="Times New Roman" w:eastAsia="Times New Roman" w:hAnsi="Times New Roman" w:cs="Times New Roman"/>
          <w:sz w:val="16"/>
          <w:szCs w:val="16"/>
          <w:lang w:val="en-GB"/>
        </w:rPr>
        <w:t xml:space="preserve">Customer’s clients (attendees, submitters, survey respondents, customer's employees and associates, RFP submitters, Customer's business contacts, current and prospective customers, members, marketing partners, or other </w:t>
      </w:r>
      <w:proofErr w:type="gramStart"/>
      <w:r w:rsidRPr="006C071E">
        <w:rPr>
          <w:rFonts w:ascii="Times New Roman" w:eastAsia="Times New Roman" w:hAnsi="Times New Roman" w:cs="Times New Roman"/>
          <w:sz w:val="16"/>
          <w:szCs w:val="16"/>
          <w:lang w:val="en-GB"/>
        </w:rPr>
        <w:t>third party</w:t>
      </w:r>
      <w:proofErr w:type="gramEnd"/>
      <w:r w:rsidRPr="006C071E">
        <w:rPr>
          <w:rFonts w:ascii="Times New Roman" w:eastAsia="Times New Roman" w:hAnsi="Times New Roman" w:cs="Times New Roman"/>
          <w:sz w:val="16"/>
          <w:szCs w:val="16"/>
          <w:lang w:val="en-GB"/>
        </w:rPr>
        <w:t xml:space="preserve"> contacts that use Services to interact with Customer etc.).</w:t>
      </w:r>
    </w:p>
    <w:bookmarkEnd w:id="12"/>
    <w:p w14:paraId="2BC9BF20" w14:textId="77777777" w:rsidR="000B7A1B" w:rsidRPr="006C071E"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6C071E">
        <w:rPr>
          <w:rFonts w:ascii="Times New Roman" w:eastAsia="Times New Roman" w:hAnsi="Times New Roman" w:cs="Times New Roman"/>
          <w:i/>
          <w:iCs/>
          <w:color w:val="000000"/>
          <w:sz w:val="16"/>
          <w:szCs w:val="16"/>
          <w:lang w:val="en-GB"/>
        </w:rPr>
        <w:t>Categories of personal data transferred</w:t>
      </w:r>
    </w:p>
    <w:p w14:paraId="75B5F6B4" w14:textId="77777777" w:rsidR="000B7A1B" w:rsidRPr="006C071E" w:rsidRDefault="000B7A1B" w:rsidP="00917045">
      <w:pPr>
        <w:numPr>
          <w:ilvl w:val="0"/>
          <w:numId w:val="8"/>
        </w:numPr>
        <w:spacing w:after="240" w:line="240" w:lineRule="auto"/>
        <w:jc w:val="both"/>
        <w:rPr>
          <w:rFonts w:ascii="Times New Roman" w:hAnsi="Times New Roman" w:cs="Times New Roman"/>
          <w:sz w:val="16"/>
          <w:szCs w:val="16"/>
          <w:lang w:val="en-GB"/>
        </w:rPr>
      </w:pPr>
      <w:r w:rsidRPr="006C071E">
        <w:rPr>
          <w:rFonts w:ascii="Times New Roman" w:hAnsi="Times New Roman" w:cs="Times New Roman"/>
          <w:sz w:val="16"/>
          <w:szCs w:val="16"/>
          <w:u w:val="single"/>
          <w:lang w:val="en-GB"/>
        </w:rPr>
        <w:t>Basic and contact data</w:t>
      </w:r>
      <w:r w:rsidRPr="006C071E">
        <w:rPr>
          <w:rFonts w:ascii="Times New Roman" w:hAnsi="Times New Roman" w:cs="Times New Roman"/>
          <w:sz w:val="16"/>
          <w:szCs w:val="16"/>
          <w:lang w:val="en-GB"/>
        </w:rPr>
        <w:t xml:space="preserve">: name, organization, title, postal address, e-mail address, telephone number, fax number, social media account ID, also credit or debit card number, or other payment account number, as well as applicable expiration dates and billing or shipping </w:t>
      </w:r>
      <w:proofErr w:type="gramStart"/>
      <w:r w:rsidRPr="006C071E">
        <w:rPr>
          <w:rFonts w:ascii="Times New Roman" w:hAnsi="Times New Roman" w:cs="Times New Roman"/>
          <w:sz w:val="16"/>
          <w:szCs w:val="16"/>
          <w:lang w:val="en-GB"/>
        </w:rPr>
        <w:t>addresses;</w:t>
      </w:r>
      <w:proofErr w:type="gramEnd"/>
    </w:p>
    <w:p w14:paraId="60C64D8D" w14:textId="77777777" w:rsidR="000B7A1B" w:rsidRPr="006C071E" w:rsidRDefault="000B7A1B" w:rsidP="00917045">
      <w:pPr>
        <w:numPr>
          <w:ilvl w:val="0"/>
          <w:numId w:val="8"/>
        </w:numPr>
        <w:spacing w:after="240" w:line="240" w:lineRule="auto"/>
        <w:jc w:val="both"/>
        <w:rPr>
          <w:rFonts w:ascii="Times New Roman" w:hAnsi="Times New Roman" w:cs="Times New Roman"/>
          <w:sz w:val="16"/>
          <w:szCs w:val="16"/>
          <w:lang w:val="en-GB"/>
        </w:rPr>
      </w:pPr>
      <w:r w:rsidRPr="006C071E">
        <w:rPr>
          <w:rFonts w:ascii="Times New Roman" w:hAnsi="Times New Roman" w:cs="Times New Roman"/>
          <w:sz w:val="16"/>
          <w:szCs w:val="16"/>
          <w:u w:val="single"/>
          <w:lang w:val="en-GB"/>
        </w:rPr>
        <w:t>Usage data</w:t>
      </w:r>
      <w:r w:rsidRPr="006C071E">
        <w:rPr>
          <w:rFonts w:ascii="Times New Roman" w:hAnsi="Times New Roman" w:cs="Times New Roman"/>
          <w:sz w:val="16"/>
          <w:szCs w:val="16"/>
          <w:lang w:val="en-GB"/>
        </w:rPr>
        <w:t xml:space="preserve">: browser and device information, operating system, device type, system and performance information, app usage data, information collected through cookies, pixel tags and other technologies, general geographic </w:t>
      </w:r>
      <w:proofErr w:type="gramStart"/>
      <w:r w:rsidRPr="006C071E">
        <w:rPr>
          <w:rFonts w:ascii="Times New Roman" w:hAnsi="Times New Roman" w:cs="Times New Roman"/>
          <w:sz w:val="16"/>
          <w:szCs w:val="16"/>
          <w:lang w:val="en-GB"/>
        </w:rPr>
        <w:t>location;</w:t>
      </w:r>
      <w:proofErr w:type="gramEnd"/>
    </w:p>
    <w:p w14:paraId="59C9FDBD" w14:textId="739E960D" w:rsidR="000B7A1B" w:rsidRPr="006C071E" w:rsidRDefault="000B7A1B" w:rsidP="006C071E">
      <w:pPr>
        <w:numPr>
          <w:ilvl w:val="0"/>
          <w:numId w:val="8"/>
        </w:numPr>
        <w:spacing w:after="240" w:line="240" w:lineRule="auto"/>
        <w:jc w:val="both"/>
        <w:rPr>
          <w:rFonts w:ascii="Times New Roman" w:hAnsi="Times New Roman" w:cs="Times New Roman"/>
          <w:sz w:val="16"/>
          <w:szCs w:val="16"/>
          <w:lang w:val="en-GB"/>
        </w:rPr>
      </w:pPr>
      <w:r w:rsidRPr="006C071E">
        <w:rPr>
          <w:rFonts w:ascii="Times New Roman" w:hAnsi="Times New Roman" w:cs="Times New Roman"/>
          <w:sz w:val="16"/>
          <w:szCs w:val="16"/>
          <w:u w:val="single"/>
          <w:lang w:val="en-GB"/>
        </w:rPr>
        <w:t>Further data about a person</w:t>
      </w:r>
      <w:r w:rsidRPr="006C071E">
        <w:rPr>
          <w:rFonts w:ascii="Times New Roman" w:hAnsi="Times New Roman" w:cs="Times New Roman"/>
          <w:sz w:val="16"/>
          <w:szCs w:val="16"/>
          <w:lang w:val="en-GB"/>
        </w:rPr>
        <w:t>: dietary preferences, interests, activities, age, gender, education and occupation.</w:t>
      </w:r>
    </w:p>
    <w:p w14:paraId="3518204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99B8E8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cs="Times New Roman"/>
          <w:iCs/>
          <w:sz w:val="16"/>
          <w:szCs w:val="16"/>
          <w:lang w:val="en-GB"/>
        </w:rPr>
        <w:t xml:space="preserve">No special categories of data are processed. </w:t>
      </w:r>
    </w:p>
    <w:p w14:paraId="5FB87EA1"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The frequency of the transfer (</w:t>
      </w:r>
      <w:proofErr w:type="gramStart"/>
      <w:r w:rsidRPr="000B7A1B">
        <w:rPr>
          <w:rFonts w:ascii="Times New Roman" w:eastAsia="Times New Roman" w:hAnsi="Times New Roman" w:cs="Times New Roman"/>
          <w:i/>
          <w:iCs/>
          <w:color w:val="000000"/>
          <w:sz w:val="16"/>
          <w:szCs w:val="16"/>
          <w:lang w:val="en-GB"/>
        </w:rPr>
        <w:t>e.g.</w:t>
      </w:r>
      <w:proofErr w:type="gramEnd"/>
      <w:r w:rsidRPr="000B7A1B">
        <w:rPr>
          <w:rFonts w:ascii="Times New Roman" w:eastAsia="Times New Roman" w:hAnsi="Times New Roman" w:cs="Times New Roman"/>
          <w:i/>
          <w:iCs/>
          <w:color w:val="000000"/>
          <w:sz w:val="16"/>
          <w:szCs w:val="16"/>
          <w:lang w:val="en-GB"/>
        </w:rPr>
        <w:t xml:space="preserve"> whether the data is transferred on a one-off or continuous basis).</w:t>
      </w:r>
    </w:p>
    <w:p w14:paraId="43DEC460" w14:textId="1AB19BAE"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The frequency of the transfer of Personal Data is </w:t>
      </w:r>
      <w:r w:rsidR="00447CBE">
        <w:rPr>
          <w:rFonts w:ascii="Times New Roman" w:eastAsia="Times New Roman" w:hAnsi="Times New Roman" w:cs="Times New Roman"/>
          <w:color w:val="000000"/>
          <w:sz w:val="16"/>
          <w:szCs w:val="16"/>
          <w:lang w:val="en-GB"/>
        </w:rPr>
        <w:t>continuous for the duration outlined in the Agreement</w:t>
      </w:r>
      <w:r w:rsidRPr="000B7A1B">
        <w:rPr>
          <w:rFonts w:ascii="Times New Roman" w:eastAsia="Times New Roman" w:hAnsi="Times New Roman" w:cs="Times New Roman"/>
          <w:color w:val="000000"/>
          <w:sz w:val="16"/>
          <w:szCs w:val="16"/>
          <w:lang w:val="en-GB"/>
        </w:rPr>
        <w:t xml:space="preserve">. </w:t>
      </w:r>
    </w:p>
    <w:p w14:paraId="54206134"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Nature of the processing</w:t>
      </w:r>
    </w:p>
    <w:p w14:paraId="793DE8EB"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nature of the processing of Personal Data pertains to the provision of Services under the Agreement</w:t>
      </w:r>
      <w:r w:rsidRPr="000B7A1B">
        <w:rPr>
          <w:rFonts w:ascii="Times New Roman" w:eastAsia="Times New Roman" w:hAnsi="Times New Roman" w:cs="Times New Roman"/>
          <w:i/>
          <w:iCs/>
          <w:color w:val="000000"/>
          <w:sz w:val="16"/>
          <w:szCs w:val="16"/>
          <w:lang w:val="en-GB"/>
        </w:rPr>
        <w:t>.</w:t>
      </w:r>
    </w:p>
    <w:p w14:paraId="571D883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lastRenderedPageBreak/>
        <w:t>Purpose(s) of the data transfer and further processing</w:t>
      </w:r>
    </w:p>
    <w:p w14:paraId="22FE8D5B"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purpose of the processing of Personal Data pertains to the provision of Services under the Agreement.</w:t>
      </w:r>
    </w:p>
    <w:p w14:paraId="1A818F7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The period for which the personal data will be retained, or, if that is not possible, the criteria used to determine that period</w:t>
      </w:r>
    </w:p>
    <w:p w14:paraId="77696C91"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retention period of Personal Data is generally determined by Customer and is subject to the term of the DPA and the Agreement.</w:t>
      </w:r>
    </w:p>
    <w:p w14:paraId="2276FA8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For transfers to (sub-) processors, also specify subject matter, nature and duration of the processing</w:t>
      </w:r>
    </w:p>
    <w:p w14:paraId="4976C113"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Subject Matter, nature and duration of processing by sub-processors will never be beyond the scope of what is conducted by data importer.</w:t>
      </w:r>
    </w:p>
    <w:p w14:paraId="6BD9C52D"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C.   COMPETENT SUPERVISORY AUTHORITY</w:t>
      </w:r>
    </w:p>
    <w:p w14:paraId="1C6E2FEF"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p>
    <w:p w14:paraId="4A319C8B"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6C4F6D97"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Identify the competent supervisory authority/ies in accordance with Clause 13</w:t>
      </w:r>
    </w:p>
    <w:p w14:paraId="3E2C25A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p>
    <w:p w14:paraId="3EAE465F"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br w:type="page"/>
      </w:r>
    </w:p>
    <w:p w14:paraId="3ECE9343" w14:textId="77777777" w:rsidR="000B7A1B" w:rsidRPr="000B7A1B" w:rsidRDefault="008B056F"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lastRenderedPageBreak/>
        <w:pict w14:anchorId="06FA30AF">
          <v:rect id="_x0000_i1028" style="width:66.65pt;height:.75pt" o:hrpct="0" o:hralign="center" o:hrstd="t" o:hrnoshade="t" o:hr="t" fillcolor="black" stroked="f"/>
        </w:pict>
      </w:r>
    </w:p>
    <w:p w14:paraId="15F448A2"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 II</w:t>
      </w:r>
    </w:p>
    <w:p w14:paraId="579339C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TECHNICAL AND ORGANISATIONAL MEASURES INCLUDING TECHNICAL AND ORGANISATIONAL MEASURES TO ENSURE THE SECURITY OF THE DATA</w:t>
      </w:r>
    </w:p>
    <w:p w14:paraId="461C79B5"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4D75FC9B" w14:textId="77777777" w:rsidR="000B7A1B" w:rsidRPr="000B7A1B" w:rsidRDefault="000B7A1B" w:rsidP="000B7A1B">
      <w:pPr>
        <w:spacing w:after="0" w:line="240" w:lineRule="auto"/>
        <w:jc w:val="both"/>
        <w:rPr>
          <w:rFonts w:ascii="Times New Roman" w:hAnsi="Times New Roman" w:cs="Times New Roman"/>
          <w:b/>
          <w:bCs/>
          <w:sz w:val="16"/>
          <w:szCs w:val="16"/>
          <w:lang w:val="en-GB"/>
        </w:rPr>
      </w:pPr>
    </w:p>
    <w:p w14:paraId="426896B5" w14:textId="77777777" w:rsidR="000B7A1B" w:rsidRPr="000B7A1B" w:rsidRDefault="000B7A1B" w:rsidP="000B7A1B">
      <w:pPr>
        <w:spacing w:after="0" w:line="240" w:lineRule="auto"/>
        <w:jc w:val="both"/>
        <w:rPr>
          <w:rFonts w:ascii="Times New Roman" w:hAnsi="Times New Roman" w:cs="Times New Roman"/>
          <w:b/>
          <w:bCs/>
          <w:sz w:val="16"/>
          <w:szCs w:val="16"/>
          <w:lang w:val="en-GB"/>
        </w:rPr>
      </w:pPr>
      <w:bookmarkStart w:id="13" w:name="_Hlk104971652"/>
      <w:r w:rsidRPr="000B7A1B">
        <w:rPr>
          <w:rFonts w:ascii="Times New Roman" w:hAnsi="Times New Roman" w:cs="Times New Roman"/>
          <w:b/>
          <w:bCs/>
          <w:sz w:val="16"/>
          <w:szCs w:val="16"/>
          <w:lang w:val="en-GB"/>
        </w:rPr>
        <w:t>Description of the technical and organisational security measures implemented by Cvent</w:t>
      </w:r>
    </w:p>
    <w:p w14:paraId="416A73C6" w14:textId="77777777" w:rsidR="000B7A1B" w:rsidRPr="000B7A1B" w:rsidRDefault="000B7A1B" w:rsidP="000B7A1B">
      <w:pPr>
        <w:spacing w:after="0" w:line="240" w:lineRule="auto"/>
        <w:jc w:val="both"/>
        <w:rPr>
          <w:rFonts w:ascii="Times New Roman" w:hAnsi="Times New Roman" w:cs="Times New Roman"/>
          <w:sz w:val="16"/>
          <w:szCs w:val="16"/>
          <w:lang w:val="en-GB"/>
        </w:rPr>
      </w:pPr>
    </w:p>
    <w:p w14:paraId="2BE83A7D" w14:textId="77777777" w:rsidR="000B7A1B" w:rsidRPr="000B7A1B" w:rsidRDefault="000B7A1B" w:rsidP="000B7A1B">
      <w:pPr>
        <w:spacing w:after="0" w:line="240" w:lineRule="auto"/>
        <w:jc w:val="both"/>
        <w:rPr>
          <w:rFonts w:ascii="Times New Roman" w:hAnsi="Times New Roman" w:cs="Times New Roman"/>
          <w:sz w:val="16"/>
          <w:szCs w:val="16"/>
          <w:lang w:val="en-GB"/>
        </w:rPr>
      </w:pPr>
      <w:bookmarkStart w:id="14" w:name="_Hlk109117583"/>
      <w:r w:rsidRPr="000B7A1B">
        <w:rPr>
          <w:rFonts w:ascii="Times New Roman" w:hAnsi="Times New Roman" w:cs="Times New Roman"/>
          <w:sz w:val="16"/>
          <w:szCs w:val="16"/>
          <w:lang w:val="en-GB"/>
        </w:rPr>
        <w:t>In its provision of services, Cvent may have access to confidential information of Customer and to personally identifiable information of Customer’s event registrants, survey respondents and others (collectively, “Customer Data”).  Cvent has implemented administrative, technical, and physical safeguards and other reasonable measures that are appropriate to protect Customer Data against unauthorized disclosure, loss and misuse (“Information Security Measures”) as provided below, and Cvent will continue to perform these or equivalent measures subject to the terms and conditions of the Agreement:</w:t>
      </w:r>
    </w:p>
    <w:p w14:paraId="071892CC" w14:textId="77777777" w:rsidR="000B7A1B" w:rsidRPr="000B7A1B" w:rsidRDefault="000B7A1B" w:rsidP="000B7A1B">
      <w:pPr>
        <w:spacing w:after="0" w:line="240" w:lineRule="auto"/>
        <w:jc w:val="both"/>
        <w:rPr>
          <w:rFonts w:ascii="Times New Roman" w:hAnsi="Times New Roman" w:cs="Times New Roman"/>
          <w:sz w:val="16"/>
          <w:szCs w:val="16"/>
          <w:lang w:val="en-GB"/>
        </w:rPr>
      </w:pPr>
    </w:p>
    <w:p w14:paraId="54C4573A"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Information Security Program</w:t>
      </w:r>
      <w:r w:rsidRPr="000B7A1B">
        <w:rPr>
          <w:rFonts w:ascii="Times New Roman" w:hAnsi="Times New Roman" w:cs="Times New Roman"/>
          <w:sz w:val="16"/>
          <w:szCs w:val="16"/>
          <w:lang w:val="en-GB"/>
        </w:rPr>
        <w:t>. Cvent shall maintain an Information Security program based on generally accepted industry Information Security standards and frameworks (e.g., the then current version of ISO/IEC 27001 or NIST Cybersecurity Framework). Cvent shall also maintain PCI-DSS compliance for all Cvent services and/or systems which process, transmit and/or store credit card information. The Information Security program shall be in place to plan, implement, manage and monitor processes to meet Cvent information security objectives and requirements applicable to Cvent Services. The Information Security program shall also include performing Information Security Risk Assessments. The Information Security Risk Assessments will be performed on an annual basis with a purpose of identifying, ranking and resolving security risks through treatment activities according to a documented, risk-based methodology. Results of internal Information Security Risk Assessments are deemed Confidential to Cvent and are not available for external review or use.</w:t>
      </w:r>
      <w:r w:rsidRPr="000B7A1B" w:rsidDel="00C939C2">
        <w:rPr>
          <w:rFonts w:ascii="Times New Roman" w:hAnsi="Times New Roman" w:cs="Times New Roman"/>
          <w:sz w:val="16"/>
          <w:szCs w:val="16"/>
          <w:lang w:val="en-GB"/>
        </w:rPr>
        <w:t xml:space="preserve"> </w:t>
      </w:r>
    </w:p>
    <w:p w14:paraId="0B5331FA"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11B0F880"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Information Security Policy</w:t>
      </w:r>
      <w:r w:rsidRPr="000B7A1B">
        <w:rPr>
          <w:rFonts w:ascii="Times New Roman" w:hAnsi="Times New Roman" w:cs="Times New Roman"/>
          <w:sz w:val="16"/>
          <w:szCs w:val="16"/>
          <w:lang w:val="en-GB"/>
        </w:rPr>
        <w:t xml:space="preserve">. Cvent shall maintain a policy that identifies Information Security Program goals and sets forth Information Security control objectives. The policy shall outline critical roles and responsibilities for Information Security across Cvent’s business operations and govern maintenance of relevant implementation standards, guidelines and/or procedures. It shall also be reviewed annually and communicated to employees and applicable third parties. Cvent’s Information Security Policy and its associated Information Security Procedures can be shared with customers upon request (and Cvent shall support one request per customer organization on an annual basis). </w:t>
      </w:r>
    </w:p>
    <w:p w14:paraId="4D39EE36"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427471CC" w14:textId="0E51EBAA"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Information Security Awareness and Employee Training</w:t>
      </w:r>
      <w:r w:rsidRPr="000B7A1B">
        <w:rPr>
          <w:rFonts w:ascii="Times New Roman" w:hAnsi="Times New Roman" w:cs="Times New Roman"/>
          <w:sz w:val="16"/>
          <w:szCs w:val="16"/>
          <w:lang w:val="en-GB"/>
        </w:rPr>
        <w:t xml:space="preserve">. Cvent shall maintain an Information Security Awareness Program geared to its employees and relevant third parties to provide understanding for Cvent’s Information Security Program, common threats and risks to Customer Data resources, as well as </w:t>
      </w:r>
      <w:r w:rsidR="004A37BE" w:rsidRPr="000B7A1B">
        <w:rPr>
          <w:rFonts w:ascii="Times New Roman" w:hAnsi="Times New Roman" w:cs="Times New Roman"/>
          <w:sz w:val="16"/>
          <w:szCs w:val="16"/>
          <w:lang w:val="en-GB"/>
        </w:rPr>
        <w:t>fulfilment</w:t>
      </w:r>
      <w:r w:rsidRPr="000B7A1B">
        <w:rPr>
          <w:rFonts w:ascii="Times New Roman" w:hAnsi="Times New Roman" w:cs="Times New Roman"/>
          <w:sz w:val="16"/>
          <w:szCs w:val="16"/>
          <w:lang w:val="en-GB"/>
        </w:rPr>
        <w:t xml:space="preserve"> of their Information Security responsibilities. As part of the Security Awareness Program, Security Awareness training shall be conducted on an annual basis to all employees and contractors of Cvent; topics covered may include, but are not limited to, Security Policy &amp; Incident Recording, Acceptable Use, Information Classification and Privacy, specifically, concerning GDPR and CCPA. </w:t>
      </w:r>
    </w:p>
    <w:p w14:paraId="083E7355"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5EDB3DA6"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Personnel Security</w:t>
      </w:r>
      <w:r w:rsidRPr="000B7A1B">
        <w:rPr>
          <w:rFonts w:ascii="Times New Roman" w:hAnsi="Times New Roman" w:cs="Times New Roman"/>
          <w:sz w:val="16"/>
          <w:szCs w:val="16"/>
          <w:lang w:val="en-GB"/>
        </w:rPr>
        <w:t xml:space="preserve">. Cvent shall further provide for the security of Customer Data by requiring all Cvent employees undergo identity and criminal background checks upon hire, as permitted by applicable law. Cvent employees shall agree to adopting appropriate measures and requirements upon on-boarding to maintain the confidentiality and non-disclosure of Customer Data. All employees may be subject to disciplinary actions if in violation of Cvent’s security policies and/or customer obligations, as mandated through Cvent’s policies. All employees are required to sign a Non-Disclosure Agreement and Acceptable Use Policy which outlines the acceptable use of Cvent assets and Customer Data handling. </w:t>
      </w:r>
    </w:p>
    <w:p w14:paraId="1BD8E4DF"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AD0F123"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Physical Security.</w:t>
      </w:r>
      <w:r w:rsidRPr="000B7A1B">
        <w:rPr>
          <w:rFonts w:ascii="Times New Roman" w:hAnsi="Times New Roman" w:cs="Times New Roman"/>
          <w:sz w:val="16"/>
          <w:szCs w:val="16"/>
          <w:lang w:val="en-GB"/>
        </w:rPr>
        <w:t xml:space="preserve"> Cvent information hosting and processing facilities shall maintain secure areas and physical entry controls to provide for prevention of unauthorized physical access or exposure, damage, loss, and/or theft of Customer Data. Hosting facilities shall be equipped with 24/7 camera monitoring with logs retained for forensics. Entry to the facilities shall have layered security controls, including badged access for authorized individuals and strict visitor policies. Equipment housing Customer Data within facilities as well as mobile computing devices shall be reasonably safeguarded against unauthorized physical access, damage, loss or theft, as well as environmental threats that may disrupt processing of Customer Data. Hosting facilities shall have safeguards against fire hazards and electricity outages with such safeguards maintained and tested regularly. Storage media containing Customer Data shall be encrypted and be securely overwritten prior to its disposal or re-use. Customer Data will be accessed outside the USA by Cvent’s designated employees using strict data security and access controls, for the sole purpose of supporting the necessary activities required for the agreed upon services.</w:t>
      </w:r>
    </w:p>
    <w:p w14:paraId="6CBFB968"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1238C7FD"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Access Control</w:t>
      </w:r>
      <w:r w:rsidRPr="000B7A1B">
        <w:rPr>
          <w:rFonts w:ascii="Times New Roman" w:hAnsi="Times New Roman" w:cs="Times New Roman"/>
          <w:sz w:val="16"/>
          <w:szCs w:val="16"/>
          <w:lang w:val="en-GB"/>
        </w:rPr>
        <w:t xml:space="preserve">. Cvent shall maintain reasonable access controls to authorize, limit and monitor Cvent employee and Cvent contractor access to Customer Data maintained in Cvent’s information systems. Controls shall </w:t>
      </w:r>
      <w:proofErr w:type="gramStart"/>
      <w:r w:rsidRPr="000B7A1B">
        <w:rPr>
          <w:rFonts w:ascii="Times New Roman" w:hAnsi="Times New Roman" w:cs="Times New Roman"/>
          <w:sz w:val="16"/>
          <w:szCs w:val="16"/>
          <w:lang w:val="en-GB"/>
        </w:rPr>
        <w:t>include:</w:t>
      </w:r>
      <w:proofErr w:type="gramEnd"/>
      <w:r w:rsidRPr="000B7A1B">
        <w:rPr>
          <w:rFonts w:ascii="Times New Roman" w:hAnsi="Times New Roman" w:cs="Times New Roman"/>
          <w:sz w:val="16"/>
          <w:szCs w:val="16"/>
          <w:lang w:val="en-GB"/>
        </w:rPr>
        <w:t xml:space="preserve"> multi-factor authentication over a secured VPN connection to any systems hosting Production Data; processes to provision user access with formally approved authorization using unique authentication IDs per individual; managing and reviewing privileged user access rights on a quarterly basis and performing a full review on an annual basis; and prompt removal of user access upon termination of employee or contractor status with Cvent. User passwords and other login information used to facilitate user identification and access to Cvent information systems shall be protected from unauthorized access by secure login mechanisms. Passwords shall be required to be changed every ninety (90) days and accounts shall be disabled after a </w:t>
      </w:r>
      <w:r w:rsidRPr="000B7A1B">
        <w:rPr>
          <w:rFonts w:ascii="Times New Roman" w:hAnsi="Times New Roman" w:cs="Times New Roman"/>
          <w:sz w:val="16"/>
          <w:szCs w:val="16"/>
          <w:lang w:val="en-GB"/>
        </w:rPr>
        <w:lastRenderedPageBreak/>
        <w:t>specific number of invalid login attempts.  Role-Based Access Controls shall be in place to ensure that only authorized Employees have access to any systems that could store or transmit Customer Data.</w:t>
      </w:r>
    </w:p>
    <w:p w14:paraId="275CFC78"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354E4CFA"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Customer Data Protection</w:t>
      </w:r>
      <w:r w:rsidRPr="000B7A1B">
        <w:rPr>
          <w:rFonts w:ascii="Times New Roman" w:hAnsi="Times New Roman" w:cs="Times New Roman"/>
          <w:sz w:val="16"/>
          <w:szCs w:val="16"/>
          <w:lang w:val="en-GB"/>
        </w:rPr>
        <w:t>. Cvent shall maintain reasonable controls to safeguard Customer Data maintained in Cvent systems from unauthorized access, exposure, modification, and/or loss. Controls to protect Customer Data may include, but are not limited to, the following: Protecting Customer Data in transit and while at rest, as required by Cvent’s Information Classification standard, by implementing strong cryptography controls using AES-256 for specifically handling PII and Customer financial data. All backups containing Customer Data shall be encrypted and all databases logically separated to ensure the confidentiality of Customer Data. Procedures shall be in place for maintaining encrypted backups of Customer Data in a secure area(s) and securely disposing or destroying Customer Data using techniques consistent with NIST 800-88, “Guidelines for Media Sanitization” or other similar industry standards.</w:t>
      </w:r>
    </w:p>
    <w:p w14:paraId="17EBF44E"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520813E0"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Network and System Security</w:t>
      </w:r>
      <w:r w:rsidRPr="000B7A1B">
        <w:rPr>
          <w:rFonts w:ascii="Times New Roman" w:hAnsi="Times New Roman" w:cs="Times New Roman"/>
          <w:sz w:val="16"/>
          <w:szCs w:val="16"/>
          <w:lang w:val="en-GB"/>
        </w:rPr>
        <w:t xml:space="preserve">. Cvent shall maintain reasonable controls to operate Information Systems that maintain Customer Data. Controls </w:t>
      </w:r>
      <w:proofErr w:type="gramStart"/>
      <w:r w:rsidRPr="000B7A1B">
        <w:rPr>
          <w:rFonts w:ascii="Times New Roman" w:hAnsi="Times New Roman" w:cs="Times New Roman"/>
          <w:sz w:val="16"/>
          <w:szCs w:val="16"/>
          <w:lang w:val="en-GB"/>
        </w:rPr>
        <w:t>include, but</w:t>
      </w:r>
      <w:proofErr w:type="gramEnd"/>
      <w:r w:rsidRPr="000B7A1B">
        <w:rPr>
          <w:rFonts w:ascii="Times New Roman" w:hAnsi="Times New Roman" w:cs="Times New Roman"/>
          <w:sz w:val="16"/>
          <w:szCs w:val="16"/>
          <w:lang w:val="en-GB"/>
        </w:rPr>
        <w:t xml:space="preserve"> are not limited to: logical and/or physical network segmentation for Development and/or Production regions, network segregation between DMZs and systems hosting sensitive data, controlling and monitoring network access, network filtering devices, firewalls, intrusion detection systems, anti-virus &amp; anti-malware solutions, and logging capabilities to detect and respond to unauthorized or suspicious activity. Cvent shall actively monitor for known security events and anomalies that may pose a threat to Customer Data. Additionally, Cvent shall also maintain a Change Management process to control significant planned and unplanned changes to Cvent’s Information Systems.</w:t>
      </w:r>
    </w:p>
    <w:p w14:paraId="1AEF536A"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A5FD795"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Vulnerability Management</w:t>
      </w:r>
      <w:r w:rsidRPr="000B7A1B">
        <w:rPr>
          <w:rFonts w:ascii="Times New Roman" w:hAnsi="Times New Roman" w:cs="Times New Roman"/>
          <w:sz w:val="16"/>
          <w:szCs w:val="16"/>
          <w:lang w:val="en-GB"/>
        </w:rPr>
        <w:t xml:space="preserve">. Cvent shall maintain processes to identify, evaluate and address vulnerabilities that may be present on Cvent Information Systems and SaaS applications. Cvent shall perform annual penetration testing and quarterly vulnerability scanning on all </w:t>
      </w:r>
      <w:proofErr w:type="gramStart"/>
      <w:r w:rsidRPr="000B7A1B">
        <w:rPr>
          <w:rFonts w:ascii="Times New Roman" w:hAnsi="Times New Roman" w:cs="Times New Roman"/>
          <w:sz w:val="16"/>
          <w:szCs w:val="16"/>
          <w:lang w:val="en-GB"/>
        </w:rPr>
        <w:t>publicly-addressable</w:t>
      </w:r>
      <w:proofErr w:type="gramEnd"/>
      <w:r w:rsidRPr="000B7A1B">
        <w:rPr>
          <w:rFonts w:ascii="Times New Roman" w:hAnsi="Times New Roman" w:cs="Times New Roman"/>
          <w:sz w:val="16"/>
          <w:szCs w:val="16"/>
          <w:lang w:val="en-GB"/>
        </w:rPr>
        <w:t xml:space="preserve"> systems as well as internal production and corporate systems. PCI ASV scans shall be conducted for all publicly addressable systems within PCI scope and work with an industry accredited third party to perform penetration testing on all Cvent PCI-scoped systems. Customers shall be provided with an Executive Summary report of our external scan report upon written request. Cvent uses the Common Vulnerability Scoring System (CVSS) 3.1 and internal risk assessment methodologies to prioritize vulnerabilities and address within reasonable timeframes to reduce the risk of potential exploitation that may lead to system compromise, loss of system availability, or unauthorized access to system(s) or Customer Data. Defined risk levels and corresponding timeframes in accordance with the </w:t>
      </w:r>
      <w:proofErr w:type="gramStart"/>
      <w:r w:rsidRPr="000B7A1B">
        <w:rPr>
          <w:rFonts w:ascii="Times New Roman" w:hAnsi="Times New Roman" w:cs="Times New Roman"/>
          <w:sz w:val="16"/>
          <w:szCs w:val="16"/>
          <w:lang w:val="en-GB"/>
        </w:rPr>
        <w:t>aforementioned standards</w:t>
      </w:r>
      <w:proofErr w:type="gramEnd"/>
      <w:r w:rsidRPr="000B7A1B">
        <w:rPr>
          <w:rFonts w:ascii="Times New Roman" w:hAnsi="Times New Roman" w:cs="Times New Roman"/>
          <w:sz w:val="16"/>
          <w:szCs w:val="16"/>
          <w:lang w:val="en-GB"/>
        </w:rPr>
        <w:t xml:space="preserve"> are as follows: Critical (Prioritized over other work until fixed, in no case later than 7 days), High (30 days), Medium (90 days) and Low (at the discretion of Cvent). Cvent shall assess different risk levels and remediation timelines in its sole discretion, based upon business impact of the remediation and the underlying risk of the vulnerability. Any vulnerabilities that cannot be resolved are subject to a formal Risk Acceptance with appropriate documented justification, with relevant compensating controls in place and formal approval from C-Level Management.</w:t>
      </w:r>
    </w:p>
    <w:p w14:paraId="79DE534E"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12ED1EB"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Secure Software Development</w:t>
      </w:r>
      <w:r w:rsidRPr="000B7A1B">
        <w:rPr>
          <w:rFonts w:ascii="Times New Roman" w:hAnsi="Times New Roman" w:cs="Times New Roman"/>
          <w:sz w:val="16"/>
          <w:szCs w:val="16"/>
          <w:lang w:val="en-GB"/>
        </w:rPr>
        <w:t xml:space="preserve">. Cvent shall maintain processes to identify, evaluate and address risks to the development of its software solutions. Cvent shall maintain an independent test/development environment, separate from production computing resources, for any testing of new software and/or changes to existing software. Production data will not be used for software testing and development purposes unless sanitized and deemed necessary for any intended testing that needs to be performed; all efforts will be made to first utilize mock/test data. Cvent maintains a change control process for application changes pushed to production computing environments. Changes shall require approvals and specific tasks to be performed, </w:t>
      </w:r>
      <w:proofErr w:type="gramStart"/>
      <w:r w:rsidRPr="000B7A1B">
        <w:rPr>
          <w:rFonts w:ascii="Times New Roman" w:hAnsi="Times New Roman" w:cs="Times New Roman"/>
          <w:sz w:val="16"/>
          <w:szCs w:val="16"/>
          <w:lang w:val="en-GB"/>
        </w:rPr>
        <w:t>including:</w:t>
      </w:r>
      <w:proofErr w:type="gramEnd"/>
      <w:r w:rsidRPr="000B7A1B">
        <w:rPr>
          <w:rFonts w:ascii="Times New Roman" w:hAnsi="Times New Roman" w:cs="Times New Roman"/>
          <w:sz w:val="16"/>
          <w:szCs w:val="16"/>
          <w:lang w:val="en-GB"/>
        </w:rPr>
        <w:t xml:space="preserve"> Development, Code Review, Testing, Approval of Changes, and Documentation of Changes. Cvent requires all software developers to undergo training on secure coding practices in line with OWASP Top 10 guidelines.</w:t>
      </w:r>
    </w:p>
    <w:p w14:paraId="5C380481"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C11A46C"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Third Party/Supply Chain Security</w:t>
      </w:r>
      <w:r w:rsidRPr="000B7A1B">
        <w:rPr>
          <w:rFonts w:ascii="Times New Roman" w:hAnsi="Times New Roman" w:cs="Times New Roman"/>
          <w:sz w:val="16"/>
          <w:szCs w:val="16"/>
          <w:lang w:val="en-GB"/>
        </w:rPr>
        <w:t>. Cvent shall maintain a process to identify, evaluate and manage risks associated with third-party vendors and/or service providers. Third parties that access, process, or store Customer Data shall undergo Risk Assessment. Reassessments of critical third parties shall be performed on an annual basis. Risks identified through risk assessments shall be prioritized and documented by Cvent.</w:t>
      </w:r>
    </w:p>
    <w:p w14:paraId="7BDDC216"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056BB3C4"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Security Incident Management.</w:t>
      </w:r>
      <w:r w:rsidRPr="000B7A1B">
        <w:rPr>
          <w:rFonts w:ascii="Times New Roman" w:hAnsi="Times New Roman" w:cs="Times New Roman"/>
          <w:sz w:val="16"/>
          <w:szCs w:val="16"/>
          <w:lang w:val="en-GB"/>
        </w:rPr>
        <w:t xml:space="preserve"> Cvent shall maintain processes to identify, respond to, contain and minimize the impact of Information Security incidents to Customer Data. A “Security Incident” shall be defined as an event that results in the unauthorized disclosure of any personally identifiable or confidential Customer Data.  In the event of a Security Incident of Customer Data while maintained in Cvent systems, Cvent shall notify Customer no later than forty-eight (48) hours after the Breach has been confirmed. </w:t>
      </w:r>
      <w:r w:rsidRPr="000B7A1B">
        <w:rPr>
          <w:rFonts w:ascii="Times New Roman" w:hAnsi="Times New Roman" w:cs="Times New Roman"/>
          <w:color w:val="000000"/>
          <w:sz w:val="16"/>
          <w:szCs w:val="16"/>
          <w:lang w:val="en-GB"/>
        </w:rPr>
        <w:t xml:space="preserve">The notice shall include the approximate date and time of the Breach and a summary of relevant, then-known facts, including a description of measures being taken to further investigate and address the Breach. </w:t>
      </w:r>
    </w:p>
    <w:p w14:paraId="0FDC1DBA" w14:textId="77777777" w:rsidR="000B7A1B" w:rsidRPr="000B7A1B" w:rsidRDefault="000B7A1B" w:rsidP="000B7A1B">
      <w:pPr>
        <w:spacing w:after="0" w:line="240" w:lineRule="auto"/>
        <w:ind w:left="360"/>
        <w:jc w:val="both"/>
        <w:rPr>
          <w:rFonts w:ascii="Times New Roman" w:hAnsi="Times New Roman" w:cs="Times New Roman"/>
          <w:sz w:val="16"/>
          <w:szCs w:val="16"/>
          <w:lang w:val="en-GB"/>
        </w:rPr>
      </w:pPr>
    </w:p>
    <w:p w14:paraId="0A6D32E7"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Business Continuity Management</w:t>
      </w:r>
      <w:r w:rsidRPr="000B7A1B">
        <w:rPr>
          <w:rFonts w:ascii="Times New Roman" w:hAnsi="Times New Roman" w:cs="Times New Roman"/>
          <w:sz w:val="16"/>
          <w:szCs w:val="16"/>
          <w:lang w:val="en-GB"/>
        </w:rPr>
        <w:t xml:space="preserve">. Cvent shall maintain controls to recover Information Systems hosting Customer Data to reasonably acceptable levels in the event of an unplanned disruption whose root cause is attributed to an entity or force beyond Cvent’s reasonable ability to control. Controls shall include a Business Continuity or Disaster Recovery Plan, which includes, but may not be limited to addressing backup(s) of Customer Data; a process to test such backup(s) at regular intervals; providing a description of resources and steps required to recover Information Systems to acceptable levels of performance and performing testing of the Business Continuity or Disaster Recovery Plan(s) on an annual basis.  </w:t>
      </w:r>
    </w:p>
    <w:p w14:paraId="1A468297" w14:textId="77777777" w:rsidR="000B7A1B" w:rsidRPr="000B7A1B" w:rsidRDefault="000B7A1B" w:rsidP="000B7A1B">
      <w:pPr>
        <w:spacing w:after="0" w:line="240" w:lineRule="auto"/>
        <w:ind w:left="360"/>
        <w:contextualSpacing/>
        <w:rPr>
          <w:rFonts w:ascii="Times New Roman" w:hAnsi="Times New Roman" w:cs="Times New Roman"/>
          <w:sz w:val="16"/>
          <w:szCs w:val="16"/>
          <w:lang w:val="en-GB"/>
        </w:rPr>
      </w:pPr>
    </w:p>
    <w:p w14:paraId="1E0C96F3"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 xml:space="preserve">Compliance and Audits. </w:t>
      </w:r>
      <w:r w:rsidRPr="000B7A1B">
        <w:rPr>
          <w:rFonts w:ascii="Times New Roman" w:hAnsi="Times New Roman" w:cs="Times New Roman"/>
          <w:bCs/>
          <w:sz w:val="16"/>
          <w:szCs w:val="16"/>
          <w:lang w:val="en-GB"/>
        </w:rPr>
        <w:t xml:space="preserve">Cvent shall hire a qualified external audit firm to conduct an audit of Cvent’s product offerings and its supporting infrastructure and processes on an annual basis. The audits shall result in a valid certificate/report for an industry acceptable framework such </w:t>
      </w:r>
      <w:r w:rsidRPr="000B7A1B">
        <w:rPr>
          <w:rFonts w:ascii="Times New Roman" w:hAnsi="Times New Roman" w:cs="Times New Roman"/>
          <w:bCs/>
          <w:sz w:val="16"/>
          <w:szCs w:val="16"/>
          <w:lang w:val="en-GB"/>
        </w:rPr>
        <w:lastRenderedPageBreak/>
        <w:t>as SOC1, SOC2, PCI DSS, ISO 27001 and others as needed. Upon written request, Cvent shall share any relevant audit certificates or its SOC reports with its customers when requested in writing by the customer.</w:t>
      </w:r>
      <w:r w:rsidRPr="000B7A1B">
        <w:rPr>
          <w:rFonts w:ascii="Times New Roman" w:hAnsi="Times New Roman" w:cs="Times New Roman"/>
          <w:b/>
          <w:sz w:val="16"/>
          <w:szCs w:val="16"/>
          <w:lang w:val="en-GB"/>
        </w:rPr>
        <w:t xml:space="preserve"> </w:t>
      </w:r>
    </w:p>
    <w:bookmarkEnd w:id="13"/>
    <w:bookmarkEnd w:id="14"/>
    <w:p w14:paraId="6407B5A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p>
    <w:p w14:paraId="16D1A00B" w14:textId="77777777" w:rsidR="000B7A1B" w:rsidRPr="000B7A1B" w:rsidRDefault="008B056F"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pict w14:anchorId="472A630B">
          <v:rect id="_x0000_i1029" style="width:66.65pt;height:.75pt" o:hrpct="0" o:hralign="center" o:hrstd="t" o:hrnoshade="t" o:hr="t" fillcolor="black" stroked="f"/>
        </w:pict>
      </w:r>
    </w:p>
    <w:p w14:paraId="02F57295"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 III</w:t>
      </w:r>
    </w:p>
    <w:p w14:paraId="1D397488"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LIST OF SUB-PROCESSORS</w:t>
      </w:r>
    </w:p>
    <w:p w14:paraId="403833F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472D675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EXPLANATORY NOTE:</w:t>
      </w:r>
    </w:p>
    <w:p w14:paraId="33E13BD5"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This Annex must be completed for Modules Two and Three, in case of the specific authorisation of sub-processors (Clause 9(a), Option 1).</w:t>
      </w:r>
    </w:p>
    <w:p w14:paraId="62C13710" w14:textId="17CE1866"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bookmarkStart w:id="15" w:name="_Hlk104971677"/>
      <w:r w:rsidRPr="000B7A1B">
        <w:rPr>
          <w:rFonts w:ascii="Times New Roman" w:eastAsia="Times New Roman" w:hAnsi="Times New Roman" w:cs="Times New Roman"/>
          <w:color w:val="000000"/>
          <w:sz w:val="16"/>
          <w:szCs w:val="16"/>
          <w:lang w:val="en-GB"/>
        </w:rPr>
        <w:t>The controller has authorised the use of the following sub-processors</w:t>
      </w:r>
      <w:r w:rsidR="00447CBE">
        <w:rPr>
          <w:rFonts w:ascii="Times New Roman" w:eastAsia="Times New Roman" w:hAnsi="Times New Roman" w:cs="Times New Roman"/>
          <w:color w:val="000000"/>
          <w:sz w:val="16"/>
          <w:szCs w:val="16"/>
          <w:lang w:val="en-GB"/>
        </w:rPr>
        <w:t xml:space="preserve"> (not all listed sub-processors receive or process personal data of the controller)</w:t>
      </w:r>
      <w:r w:rsidRPr="000B7A1B">
        <w:rPr>
          <w:rFonts w:ascii="Times New Roman" w:eastAsia="Times New Roman" w:hAnsi="Times New Roman" w:cs="Times New Roman"/>
          <w:color w:val="000000"/>
          <w:sz w:val="16"/>
          <w:szCs w:val="16"/>
          <w:lang w:val="en-GB"/>
        </w:rPr>
        <w:t>:</w:t>
      </w:r>
    </w:p>
    <w:p w14:paraId="296A551A" w14:textId="77777777" w:rsidR="000B7A1B" w:rsidRPr="000B7A1B" w:rsidRDefault="000B7A1B" w:rsidP="000B7A1B">
      <w:pPr>
        <w:spacing w:after="0" w:line="240" w:lineRule="auto"/>
        <w:rPr>
          <w:rFonts w:ascii="Times New Roman" w:hAnsi="Times New Roman" w:cs="Times New Roman"/>
          <w:sz w:val="16"/>
          <w:szCs w:val="16"/>
          <w:lang w:val="en-GB"/>
        </w:rPr>
      </w:pPr>
    </w:p>
    <w:p w14:paraId="6F4F9CAF" w14:textId="3788E028" w:rsidR="000B7A1B" w:rsidRPr="000B7A1B" w:rsidRDefault="008B056F" w:rsidP="000B7A1B">
      <w:pPr>
        <w:spacing w:after="0" w:line="240" w:lineRule="auto"/>
        <w:rPr>
          <w:rFonts w:ascii="Times New Roman" w:hAnsi="Times New Roman" w:cs="Times New Roman"/>
          <w:sz w:val="16"/>
          <w:szCs w:val="16"/>
          <w:lang w:val="en-GB"/>
        </w:rPr>
      </w:pPr>
      <w:hyperlink r:id="rId31" w:history="1">
        <w:r w:rsidR="006C071E" w:rsidRPr="0015358F">
          <w:rPr>
            <w:rStyle w:val="Hyperlink"/>
            <w:rFonts w:ascii="Times New Roman" w:hAnsi="Times New Roman" w:cs="Times New Roman"/>
            <w:sz w:val="16"/>
            <w:szCs w:val="16"/>
            <w:lang w:val="en-GB"/>
          </w:rPr>
          <w:t>https://www.cvent.com/uk/gdpr/cvents-affiliates-and-subprocessors</w:t>
        </w:r>
      </w:hyperlink>
      <w:r w:rsidR="006C071E">
        <w:rPr>
          <w:rFonts w:ascii="Times New Roman" w:hAnsi="Times New Roman" w:cs="Times New Roman"/>
          <w:sz w:val="16"/>
          <w:szCs w:val="16"/>
          <w:lang w:val="en-GB"/>
        </w:rPr>
        <w:t xml:space="preserve"> </w:t>
      </w:r>
    </w:p>
    <w:bookmarkEnd w:id="15"/>
    <w:p w14:paraId="5C3AE866" w14:textId="77777777" w:rsidR="000B7A1B" w:rsidRPr="000B7A1B" w:rsidRDefault="000B7A1B" w:rsidP="000B7A1B">
      <w:pPr>
        <w:spacing w:after="0" w:line="240" w:lineRule="auto"/>
        <w:rPr>
          <w:rFonts w:ascii="Times New Roman" w:hAnsi="Times New Roman" w:cs="Times New Roman"/>
          <w:bCs/>
          <w:sz w:val="16"/>
          <w:szCs w:val="16"/>
          <w:lang w:val="en-GB"/>
        </w:rPr>
      </w:pPr>
    </w:p>
    <w:p w14:paraId="5AF27096" w14:textId="77777777" w:rsidR="000B7A1B" w:rsidRPr="000B7A1B" w:rsidRDefault="000B7A1B" w:rsidP="000B7A1B">
      <w:pPr>
        <w:spacing w:after="0" w:line="240" w:lineRule="auto"/>
        <w:jc w:val="center"/>
        <w:rPr>
          <w:rFonts w:ascii="Times New Roman" w:hAnsi="Times New Roman" w:cs="Times New Roman"/>
          <w:b/>
          <w:sz w:val="16"/>
          <w:szCs w:val="16"/>
          <w:lang w:val="en-GB"/>
        </w:rPr>
      </w:pPr>
    </w:p>
    <w:p w14:paraId="21D61B09" w14:textId="77777777" w:rsidR="000B7A1B" w:rsidRPr="000B7A1B" w:rsidRDefault="000B7A1B" w:rsidP="000B7A1B">
      <w:pPr>
        <w:spacing w:after="0" w:line="240" w:lineRule="auto"/>
        <w:rPr>
          <w:rFonts w:ascii="Times New Roman" w:hAnsi="Times New Roman" w:cs="Times New Roman"/>
          <w:b/>
          <w:sz w:val="16"/>
          <w:szCs w:val="16"/>
          <w:lang w:val="en-GB"/>
        </w:rPr>
      </w:pPr>
      <w:r w:rsidRPr="000B7A1B">
        <w:rPr>
          <w:rFonts w:ascii="Times New Roman" w:hAnsi="Times New Roman" w:cs="Times New Roman"/>
          <w:b/>
          <w:sz w:val="16"/>
          <w:szCs w:val="16"/>
          <w:lang w:val="en-GB"/>
        </w:rPr>
        <w:br w:type="page"/>
      </w:r>
    </w:p>
    <w:p w14:paraId="02AEE03E" w14:textId="77777777" w:rsidR="003C4B64" w:rsidRDefault="000B7A1B" w:rsidP="003C4B64">
      <w:pPr>
        <w:spacing w:after="0" w:line="240" w:lineRule="auto"/>
        <w:jc w:val="center"/>
        <w:rPr>
          <w:rFonts w:ascii="Times New Roman" w:hAnsi="Times New Roman" w:cs="Times New Roman"/>
          <w:b/>
          <w:sz w:val="16"/>
          <w:szCs w:val="16"/>
          <w:lang w:val="en-GB"/>
        </w:rPr>
      </w:pPr>
      <w:bookmarkStart w:id="16" w:name="_Hlk104971832"/>
      <w:r w:rsidRPr="000B7A1B">
        <w:rPr>
          <w:rFonts w:ascii="Times New Roman" w:hAnsi="Times New Roman" w:cs="Times New Roman"/>
          <w:b/>
          <w:sz w:val="16"/>
          <w:szCs w:val="16"/>
          <w:lang w:val="en-GB"/>
        </w:rPr>
        <w:lastRenderedPageBreak/>
        <w:t xml:space="preserve">ATTACHMENT 2: </w:t>
      </w:r>
    </w:p>
    <w:p w14:paraId="0C82F6A5" w14:textId="77777777" w:rsidR="003C4B64" w:rsidRDefault="003C4B64" w:rsidP="003C4B64">
      <w:pPr>
        <w:spacing w:after="0" w:line="240" w:lineRule="auto"/>
        <w:jc w:val="center"/>
        <w:rPr>
          <w:rFonts w:ascii="Times New Roman" w:hAnsi="Times New Roman" w:cs="Times New Roman"/>
          <w:b/>
          <w:sz w:val="16"/>
          <w:szCs w:val="16"/>
          <w:lang w:val="en-GB"/>
        </w:rPr>
      </w:pPr>
    </w:p>
    <w:p w14:paraId="7A04E754" w14:textId="09DD5E9A" w:rsidR="00A635BD" w:rsidRPr="006720BA" w:rsidRDefault="00A635BD" w:rsidP="003C4B64">
      <w:pPr>
        <w:spacing w:after="0" w:line="240" w:lineRule="auto"/>
        <w:jc w:val="center"/>
        <w:rPr>
          <w:rFonts w:ascii="Times New Roman" w:hAnsi="Times New Roman" w:cs="Times New Roman"/>
          <w:b/>
          <w:bCs/>
          <w:sz w:val="16"/>
          <w:szCs w:val="16"/>
        </w:rPr>
      </w:pPr>
      <w:r w:rsidRPr="006720BA">
        <w:rPr>
          <w:rFonts w:ascii="Times New Roman" w:hAnsi="Times New Roman" w:cs="Times New Roman"/>
          <w:b/>
          <w:bCs/>
          <w:sz w:val="16"/>
          <w:szCs w:val="16"/>
        </w:rPr>
        <w:t>International Data Transfer Addendum to the EU Commission Standard Contractual Clauses</w:t>
      </w:r>
    </w:p>
    <w:p w14:paraId="292B7954" w14:textId="77777777" w:rsidR="00A635BD" w:rsidRPr="006720BA" w:rsidRDefault="00A635BD" w:rsidP="00A635BD">
      <w:pPr>
        <w:pBdr>
          <w:bottom w:val="single" w:sz="4" w:space="16" w:color="003768"/>
        </w:pBdr>
        <w:spacing w:before="200" w:after="360"/>
        <w:jc w:val="center"/>
        <w:rPr>
          <w:rFonts w:ascii="Times New Roman" w:eastAsia="Times New Roman" w:hAnsi="Times New Roman" w:cs="Times New Roman"/>
          <w:bCs/>
          <w:sz w:val="16"/>
          <w:szCs w:val="16"/>
          <w:lang w:eastAsia="zh-CN"/>
        </w:rPr>
      </w:pPr>
      <w:r w:rsidRPr="006720BA">
        <w:rPr>
          <w:rFonts w:ascii="Times New Roman" w:eastAsia="Times New Roman" w:hAnsi="Times New Roman" w:cs="Times New Roman"/>
          <w:bCs/>
          <w:sz w:val="16"/>
          <w:szCs w:val="16"/>
          <w:lang w:eastAsia="zh-CN"/>
        </w:rPr>
        <w:t>VERSION B1.0, in force 21 March 2022</w:t>
      </w:r>
    </w:p>
    <w:p w14:paraId="03DA5014" w14:textId="77777777" w:rsidR="00A635BD" w:rsidRPr="006720BA" w:rsidRDefault="00A635BD" w:rsidP="006C071E">
      <w:pPr>
        <w:jc w:val="both"/>
        <w:rPr>
          <w:rFonts w:ascii="Times New Roman" w:hAnsi="Times New Roman" w:cs="Times New Roman"/>
          <w:sz w:val="16"/>
          <w:szCs w:val="16"/>
        </w:rPr>
      </w:pPr>
      <w:r w:rsidRPr="006720BA">
        <w:rPr>
          <w:rFonts w:ascii="Times New Roman" w:eastAsia="Times New Roman" w:hAnsi="Times New Roman" w:cs="Times New Roman"/>
          <w:sz w:val="16"/>
          <w:szCs w:val="16"/>
          <w:lang w:eastAsia="zh-CN"/>
        </w:rPr>
        <w:t>This</w:t>
      </w:r>
      <w:bookmarkStart w:id="17" w:name="_Hlk92884578"/>
      <w:r w:rsidRPr="006720BA">
        <w:rPr>
          <w:rFonts w:ascii="Times New Roman" w:eastAsia="Times New Roman" w:hAnsi="Times New Roman" w:cs="Times New Roman"/>
          <w:sz w:val="16"/>
          <w:szCs w:val="16"/>
          <w:lang w:eastAsia="zh-CN"/>
        </w:rPr>
        <w:t xml:space="preserve"> </w:t>
      </w:r>
      <w:r w:rsidRPr="006720BA">
        <w:rPr>
          <w:rFonts w:ascii="Times New Roman" w:hAnsi="Times New Roman" w:cs="Times New Roman"/>
          <w:sz w:val="16"/>
          <w:szCs w:val="16"/>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18" w:name="_Hlk92885565"/>
      <w:bookmarkEnd w:id="17"/>
    </w:p>
    <w:p w14:paraId="693ECA75" w14:textId="77777777" w:rsidR="00A635BD" w:rsidRPr="006720BA" w:rsidRDefault="00A635BD" w:rsidP="00A635BD">
      <w:pPr>
        <w:pStyle w:val="Heading2"/>
        <w:rPr>
          <w:rFonts w:ascii="Times New Roman" w:hAnsi="Times New Roman" w:cs="Times New Roman"/>
          <w:color w:val="auto"/>
          <w:sz w:val="16"/>
          <w:szCs w:val="16"/>
        </w:rPr>
      </w:pPr>
      <w:bookmarkStart w:id="19" w:name="_Toc79405424"/>
      <w:r w:rsidRPr="006720BA">
        <w:rPr>
          <w:rFonts w:ascii="Times New Roman" w:hAnsi="Times New Roman" w:cs="Times New Roman"/>
          <w:color w:val="auto"/>
          <w:sz w:val="16"/>
          <w:szCs w:val="16"/>
        </w:rPr>
        <w:t>Part 1: Tables</w:t>
      </w:r>
      <w:bookmarkEnd w:id="19"/>
    </w:p>
    <w:p w14:paraId="28E9D760" w14:textId="77777777" w:rsidR="00A635BD" w:rsidRPr="006720BA" w:rsidRDefault="00A635BD" w:rsidP="00A635BD">
      <w:pPr>
        <w:pStyle w:val="Heading3"/>
        <w:rPr>
          <w:rFonts w:ascii="Times New Roman" w:hAnsi="Times New Roman" w:cs="Times New Roman"/>
          <w:color w:val="auto"/>
          <w:sz w:val="16"/>
          <w:szCs w:val="16"/>
        </w:rPr>
      </w:pPr>
      <w:r w:rsidRPr="006720BA">
        <w:rPr>
          <w:rFonts w:ascii="Times New Roman" w:hAnsi="Times New Roman" w:cs="Times New Roman"/>
          <w:color w:val="auto"/>
          <w:sz w:val="16"/>
          <w:szCs w:val="16"/>
        </w:rPr>
        <w:t>Table 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80"/>
        <w:gridCol w:w="3539"/>
        <w:gridCol w:w="3541"/>
      </w:tblGrid>
      <w:tr w:rsidR="00A635BD" w:rsidRPr="006720BA" w14:paraId="7E6264D1" w14:textId="77777777" w:rsidTr="00C131CD">
        <w:tc>
          <w:tcPr>
            <w:tcW w:w="1177" w:type="pct"/>
            <w:tcBorders>
              <w:top w:val="single" w:sz="4" w:space="0" w:color="FFC000"/>
            </w:tcBorders>
            <w:shd w:val="clear" w:color="auto" w:fill="FFF9DD"/>
          </w:tcPr>
          <w:p w14:paraId="2DF854CB"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Start date</w:t>
            </w:r>
          </w:p>
        </w:tc>
        <w:tc>
          <w:tcPr>
            <w:tcW w:w="3823" w:type="pct"/>
            <w:gridSpan w:val="2"/>
            <w:tcBorders>
              <w:top w:val="single" w:sz="4" w:space="0" w:color="FFC000"/>
            </w:tcBorders>
            <w:shd w:val="clear" w:color="auto" w:fill="auto"/>
          </w:tcPr>
          <w:p w14:paraId="2AD9BE33" w14:textId="77777777" w:rsidR="00A635BD" w:rsidRPr="006720BA" w:rsidRDefault="00A635BD" w:rsidP="006C58A1">
            <w:pPr>
              <w:pStyle w:val="Body"/>
              <w:jc w:val="both"/>
              <w:rPr>
                <w:rFonts w:ascii="Times New Roman" w:hAnsi="Times New Roman" w:cs="Times New Roman"/>
                <w:sz w:val="16"/>
                <w:szCs w:val="16"/>
              </w:rPr>
            </w:pPr>
            <w:r>
              <w:rPr>
                <w:rFonts w:ascii="Times New Roman" w:hAnsi="Times New Roman" w:cs="Times New Roman"/>
                <w:sz w:val="16"/>
                <w:szCs w:val="16"/>
              </w:rPr>
              <w:t xml:space="preserve">Effective Date of the Services Agreement(s) </w:t>
            </w:r>
            <w:proofErr w:type="gramStart"/>
            <w:r>
              <w:rPr>
                <w:rFonts w:ascii="Times New Roman" w:hAnsi="Times New Roman" w:cs="Times New Roman"/>
                <w:sz w:val="16"/>
                <w:szCs w:val="16"/>
              </w:rPr>
              <w:t>entered into</w:t>
            </w:r>
            <w:proofErr w:type="gramEnd"/>
            <w:r>
              <w:rPr>
                <w:rFonts w:ascii="Times New Roman" w:hAnsi="Times New Roman" w:cs="Times New Roman"/>
                <w:sz w:val="16"/>
                <w:szCs w:val="16"/>
              </w:rPr>
              <w:t xml:space="preserve"> by and between Exporter and Importer (“Agreement”)</w:t>
            </w:r>
          </w:p>
        </w:tc>
      </w:tr>
      <w:tr w:rsidR="00A635BD" w:rsidRPr="006720BA" w14:paraId="04886CFD" w14:textId="77777777" w:rsidTr="00C131CD">
        <w:tc>
          <w:tcPr>
            <w:tcW w:w="1177" w:type="pct"/>
            <w:shd w:val="clear" w:color="auto" w:fill="FFF0A9"/>
            <w:vAlign w:val="center"/>
          </w:tcPr>
          <w:p w14:paraId="1FC2B245"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The Parties</w:t>
            </w:r>
          </w:p>
        </w:tc>
        <w:tc>
          <w:tcPr>
            <w:tcW w:w="1911" w:type="pct"/>
            <w:shd w:val="clear" w:color="auto" w:fill="FFF0A9"/>
            <w:vAlign w:val="center"/>
          </w:tcPr>
          <w:p w14:paraId="0B3DBCCA"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Exporter (who sends the Restricted Transfer)</w:t>
            </w:r>
          </w:p>
        </w:tc>
        <w:tc>
          <w:tcPr>
            <w:tcW w:w="1912" w:type="pct"/>
            <w:shd w:val="clear" w:color="auto" w:fill="FFF0A9"/>
            <w:vAlign w:val="center"/>
          </w:tcPr>
          <w:p w14:paraId="5A803BF1"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Importer (who receives the Restricted Transfer)</w:t>
            </w:r>
          </w:p>
        </w:tc>
      </w:tr>
      <w:tr w:rsidR="00A635BD" w:rsidRPr="006720BA" w14:paraId="0233A607" w14:textId="77777777" w:rsidTr="00C131CD">
        <w:tc>
          <w:tcPr>
            <w:tcW w:w="1177" w:type="pct"/>
            <w:shd w:val="clear" w:color="auto" w:fill="FFF9DD"/>
          </w:tcPr>
          <w:p w14:paraId="00C9D0A0"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Parties’ details</w:t>
            </w:r>
          </w:p>
        </w:tc>
        <w:tc>
          <w:tcPr>
            <w:tcW w:w="1911" w:type="pct"/>
          </w:tcPr>
          <w:p w14:paraId="59552BC4"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legal name: </w:t>
            </w:r>
            <w:bookmarkStart w:id="20" w:name="_Hlk93316049"/>
            <w:r w:rsidRPr="006720BA">
              <w:rPr>
                <w:rFonts w:ascii="Times New Roman" w:hAnsi="Times New Roman" w:cs="Times New Roman"/>
                <w:sz w:val="16"/>
                <w:szCs w:val="16"/>
                <w:highlight w:val="lightGray"/>
              </w:rPr>
              <w:fldChar w:fldCharType="begin" w:fldLock="1">
                <w:ffData>
                  <w:name w:val="Text2"/>
                  <w:enabled/>
                  <w:calcOnExit w:val="0"/>
                  <w:textInput/>
                </w:ffData>
              </w:fldChar>
            </w:r>
            <w:bookmarkStart w:id="21" w:name="Text2"/>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bookmarkEnd w:id="20"/>
            <w:bookmarkEnd w:id="21"/>
          </w:p>
          <w:p w14:paraId="337CED6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Trading name (if different):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5AAC364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Main address (if a company registered address):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1BAAFB91"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Official registration number (if any) (company number or similar identifier):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c>
          <w:tcPr>
            <w:tcW w:w="1912" w:type="pct"/>
          </w:tcPr>
          <w:p w14:paraId="09819EE1"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legal name: </w:t>
            </w:r>
            <w:r>
              <w:rPr>
                <w:rFonts w:ascii="Times New Roman" w:hAnsi="Times New Roman" w:cs="Times New Roman"/>
                <w:sz w:val="16"/>
                <w:szCs w:val="16"/>
              </w:rPr>
              <w:t>Cvent, Inc.</w:t>
            </w:r>
          </w:p>
          <w:p w14:paraId="4CB8CFDD"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Trading name (if different):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690B3EFA" w14:textId="4C01DED0"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Main address (if a company registered address): </w:t>
            </w:r>
            <w:r>
              <w:rPr>
                <w:rFonts w:ascii="Times New Roman" w:hAnsi="Times New Roman" w:cs="Times New Roman"/>
                <w:sz w:val="16"/>
                <w:szCs w:val="16"/>
              </w:rPr>
              <w:t>1765 Greensboro Station Place, Suit</w:t>
            </w:r>
            <w:r w:rsidR="00372C11">
              <w:rPr>
                <w:rFonts w:ascii="Times New Roman" w:hAnsi="Times New Roman" w:cs="Times New Roman"/>
                <w:sz w:val="16"/>
                <w:szCs w:val="16"/>
              </w:rPr>
              <w:t>e</w:t>
            </w:r>
            <w:r>
              <w:rPr>
                <w:rFonts w:ascii="Times New Roman" w:hAnsi="Times New Roman" w:cs="Times New Roman"/>
                <w:sz w:val="16"/>
                <w:szCs w:val="16"/>
              </w:rPr>
              <w:t xml:space="preserve"> 700, Tysons Corner, VA 22102</w:t>
            </w:r>
          </w:p>
          <w:p w14:paraId="6F7BFA0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Official registration number (if any) (company number or similar identifier):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r>
      <w:tr w:rsidR="00A635BD" w:rsidRPr="006720BA" w14:paraId="041013B7" w14:textId="77777777" w:rsidTr="00C131CD">
        <w:tc>
          <w:tcPr>
            <w:tcW w:w="1177" w:type="pct"/>
            <w:shd w:val="clear" w:color="auto" w:fill="FFF9DD"/>
          </w:tcPr>
          <w:p w14:paraId="1275191C"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Key Contact</w:t>
            </w:r>
          </w:p>
        </w:tc>
        <w:tc>
          <w:tcPr>
            <w:tcW w:w="1911" w:type="pct"/>
          </w:tcPr>
          <w:p w14:paraId="3151145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Name (optional):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0E868EA0"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Job Title: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5B1A4001"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Contact details including email: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c>
          <w:tcPr>
            <w:tcW w:w="1912" w:type="pct"/>
          </w:tcPr>
          <w:p w14:paraId="191642D4"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Name (optional): </w:t>
            </w:r>
            <w:r>
              <w:rPr>
                <w:rFonts w:ascii="Times New Roman" w:hAnsi="Times New Roman" w:cs="Times New Roman"/>
                <w:sz w:val="16"/>
                <w:szCs w:val="16"/>
              </w:rPr>
              <w:t>Edwin Szeto</w:t>
            </w:r>
          </w:p>
          <w:p w14:paraId="060E780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Job Title: </w:t>
            </w:r>
            <w:r>
              <w:rPr>
                <w:rFonts w:ascii="Times New Roman" w:hAnsi="Times New Roman" w:cs="Times New Roman"/>
                <w:sz w:val="16"/>
                <w:szCs w:val="16"/>
              </w:rPr>
              <w:t>VP and Assistant General Counsel</w:t>
            </w:r>
          </w:p>
          <w:p w14:paraId="741FD3DF" w14:textId="3EBAB461"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Contact details including email: </w:t>
            </w:r>
            <w:hyperlink r:id="rId32" w:history="1">
              <w:r w:rsidR="006C071E" w:rsidRPr="0015358F">
                <w:rPr>
                  <w:rStyle w:val="Hyperlink"/>
                  <w:rFonts w:ascii="Times New Roman" w:hAnsi="Times New Roman" w:cs="Times New Roman"/>
                  <w:sz w:val="16"/>
                  <w:szCs w:val="16"/>
                </w:rPr>
                <w:t>eszeto@cvent.com</w:t>
              </w:r>
            </w:hyperlink>
            <w:r w:rsidR="006C071E">
              <w:rPr>
                <w:rFonts w:ascii="Times New Roman" w:hAnsi="Times New Roman" w:cs="Times New Roman"/>
                <w:sz w:val="16"/>
                <w:szCs w:val="16"/>
              </w:rPr>
              <w:t xml:space="preserve"> </w:t>
            </w:r>
          </w:p>
        </w:tc>
      </w:tr>
      <w:tr w:rsidR="00A635BD" w:rsidRPr="006720BA" w14:paraId="7B0A31EC" w14:textId="77777777" w:rsidTr="00C131CD">
        <w:tc>
          <w:tcPr>
            <w:tcW w:w="1177" w:type="pct"/>
            <w:tcBorders>
              <w:bottom w:val="single" w:sz="18" w:space="0" w:color="FFC000"/>
            </w:tcBorders>
            <w:shd w:val="clear" w:color="auto" w:fill="FFF9DD"/>
          </w:tcPr>
          <w:p w14:paraId="77D11723"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Signature (if required for the purposes of Section ‎2)</w:t>
            </w:r>
          </w:p>
        </w:tc>
        <w:tc>
          <w:tcPr>
            <w:tcW w:w="1911" w:type="pct"/>
            <w:tcBorders>
              <w:bottom w:val="single" w:sz="18" w:space="0" w:color="FFC000"/>
            </w:tcBorders>
          </w:tcPr>
          <w:p w14:paraId="2B719ABE" w14:textId="5F9B9784" w:rsidR="00A635BD" w:rsidRPr="006720BA" w:rsidRDefault="00447CBE" w:rsidP="00C131CD">
            <w:pPr>
              <w:pStyle w:val="Body"/>
              <w:rPr>
                <w:rFonts w:ascii="Times New Roman" w:hAnsi="Times New Roman" w:cs="Times New Roman"/>
                <w:sz w:val="16"/>
                <w:szCs w:val="16"/>
              </w:rPr>
            </w:pPr>
            <w:r>
              <w:rPr>
                <w:rFonts w:ascii="Times New Roman" w:hAnsi="Times New Roman" w:cs="Times New Roman"/>
                <w:sz w:val="16"/>
                <w:szCs w:val="16"/>
              </w:rPr>
              <w:fldChar w:fldCharType="begin">
                <w:ffData>
                  <w:name w:val="Text9"/>
                  <w:enabled/>
                  <w:calcOnExit w:val="0"/>
                  <w:textInput/>
                </w:ffData>
              </w:fldChar>
            </w:r>
            <w:bookmarkStart w:id="22" w:name="Text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2"/>
          </w:p>
        </w:tc>
        <w:tc>
          <w:tcPr>
            <w:tcW w:w="1912" w:type="pct"/>
            <w:tcBorders>
              <w:bottom w:val="single" w:sz="18" w:space="0" w:color="FFC000"/>
            </w:tcBorders>
          </w:tcPr>
          <w:p w14:paraId="404A3CC5" w14:textId="30C290A2" w:rsidR="00A635BD" w:rsidRPr="006720BA" w:rsidRDefault="00111AF4" w:rsidP="00C131CD">
            <w:pPr>
              <w:pStyle w:val="Body"/>
              <w:rPr>
                <w:rFonts w:ascii="Times New Roman" w:hAnsi="Times New Roman" w:cs="Times New Roman"/>
                <w:sz w:val="16"/>
                <w:szCs w:val="16"/>
              </w:rPr>
            </w:pPr>
            <w:r w:rsidRPr="000B7A1B">
              <w:rPr>
                <w:rFonts w:ascii="Times New Roman" w:hAnsi="Times New Roman"/>
                <w:noProof/>
                <w:sz w:val="16"/>
                <w:szCs w:val="16"/>
              </w:rPr>
              <w:drawing>
                <wp:inline distT="0" distB="0" distL="0" distR="0" wp14:anchorId="33336467" wp14:editId="559F9D2E">
                  <wp:extent cx="1688465" cy="3271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8465" cy="327140"/>
                          </a:xfrm>
                          <a:prstGeom prst="rect">
                            <a:avLst/>
                          </a:prstGeom>
                          <a:noFill/>
                        </pic:spPr>
                      </pic:pic>
                    </a:graphicData>
                  </a:graphic>
                </wp:inline>
              </w:drawing>
            </w:r>
          </w:p>
        </w:tc>
      </w:tr>
    </w:tbl>
    <w:p w14:paraId="512A1B33" w14:textId="77777777" w:rsidR="00A635BD" w:rsidRPr="006720BA" w:rsidRDefault="00A635BD" w:rsidP="00A635BD">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78"/>
        <w:gridCol w:w="7088"/>
      </w:tblGrid>
      <w:tr w:rsidR="00A635BD" w:rsidRPr="006720BA" w14:paraId="60B6481C" w14:textId="77777777" w:rsidTr="00C131CD">
        <w:tc>
          <w:tcPr>
            <w:tcW w:w="1175" w:type="pct"/>
            <w:shd w:val="clear" w:color="auto" w:fill="FFF9DD"/>
          </w:tcPr>
          <w:p w14:paraId="57626617"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Addendum EU SCCs</w:t>
            </w:r>
          </w:p>
        </w:tc>
        <w:tc>
          <w:tcPr>
            <w:tcW w:w="3825" w:type="pct"/>
          </w:tcPr>
          <w:p w14:paraId="74F37624" w14:textId="77777777" w:rsidR="00A635BD" w:rsidRPr="006720BA" w:rsidRDefault="00A635BD" w:rsidP="006C071E">
            <w:pPr>
              <w:pStyle w:val="Bodyindent"/>
              <w:jc w:val="both"/>
              <w:rPr>
                <w:rFonts w:ascii="Times New Roman" w:eastAsia="Verdana" w:hAnsi="Times New Roman"/>
                <w:sz w:val="16"/>
                <w:szCs w:val="16"/>
              </w:rPr>
            </w:pPr>
            <w:r>
              <w:rPr>
                <w:rFonts w:ascii="Times New Roman" w:eastAsia="Verdana" w:hAnsi="Times New Roman"/>
                <w:sz w:val="16"/>
                <w:szCs w:val="16"/>
              </w:rPr>
              <w:fldChar w:fldCharType="begin">
                <w:ffData>
                  <w:name w:val=""/>
                  <w:enabled/>
                  <w:calcOnExit w:val="0"/>
                  <w:checkBox>
                    <w:size w:val="16"/>
                    <w:default w:val="1"/>
                  </w:checkBox>
                </w:ffData>
              </w:fldChar>
            </w:r>
            <w:r>
              <w:rPr>
                <w:rFonts w:ascii="Times New Roman" w:eastAsia="Verdana" w:hAnsi="Times New Roman"/>
                <w:sz w:val="16"/>
                <w:szCs w:val="16"/>
              </w:rPr>
              <w:instrText xml:space="preserve"> FORMCHECKBOX </w:instrText>
            </w:r>
            <w:r w:rsidR="008B056F">
              <w:rPr>
                <w:rFonts w:ascii="Times New Roman" w:eastAsia="Verdana" w:hAnsi="Times New Roman"/>
                <w:sz w:val="16"/>
                <w:szCs w:val="16"/>
              </w:rPr>
            </w:r>
            <w:r w:rsidR="008B056F">
              <w:rPr>
                <w:rFonts w:ascii="Times New Roman" w:eastAsia="Verdana" w:hAnsi="Times New Roman"/>
                <w:sz w:val="16"/>
                <w:szCs w:val="16"/>
              </w:rPr>
              <w:fldChar w:fldCharType="separate"/>
            </w:r>
            <w:r>
              <w:rPr>
                <w:rFonts w:ascii="Times New Roman" w:eastAsia="Verdana" w:hAnsi="Times New Roman"/>
                <w:sz w:val="16"/>
                <w:szCs w:val="16"/>
              </w:rPr>
              <w:fldChar w:fldCharType="end"/>
            </w:r>
            <w:r w:rsidRPr="006720BA">
              <w:rPr>
                <w:rFonts w:ascii="Times New Roman" w:eastAsia="Verdana" w:hAnsi="Times New Roman"/>
                <w:sz w:val="16"/>
                <w:szCs w:val="16"/>
              </w:rPr>
              <w:t xml:space="preserve"> The version of the Approved EU SCCs which this Addendum is appended to, detailed below, including the Appendix Information:</w:t>
            </w:r>
          </w:p>
          <w:p w14:paraId="3B083199"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Date:</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4463916D"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Reference (if any):</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3ACECA14" w14:textId="77777777" w:rsidR="00A635BD" w:rsidRPr="006720BA" w:rsidRDefault="00A635BD" w:rsidP="00C131CD">
            <w:pPr>
              <w:pStyle w:val="Body"/>
              <w:rPr>
                <w:rFonts w:ascii="Times New Roman" w:hAnsi="Times New Roman" w:cs="Times New Roman"/>
                <w:sz w:val="16"/>
                <w:szCs w:val="16"/>
              </w:rPr>
            </w:pPr>
            <w:proofErr w:type="gramStart"/>
            <w:r w:rsidRPr="006720BA">
              <w:rPr>
                <w:rFonts w:ascii="Times New Roman" w:hAnsi="Times New Roman" w:cs="Times New Roman"/>
                <w:sz w:val="16"/>
                <w:szCs w:val="16"/>
              </w:rPr>
              <w:t>Other</w:t>
            </w:r>
            <w:proofErr w:type="gramEnd"/>
            <w:r w:rsidRPr="006720BA">
              <w:rPr>
                <w:rFonts w:ascii="Times New Roman" w:hAnsi="Times New Roman" w:cs="Times New Roman"/>
                <w:sz w:val="16"/>
                <w:szCs w:val="16"/>
              </w:rPr>
              <w:t xml:space="preserve"> identifier (if any):</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2A2B460C"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Or</w:t>
            </w:r>
          </w:p>
          <w:p w14:paraId="592AF999" w14:textId="77777777" w:rsidR="00A635BD" w:rsidRPr="006720BA" w:rsidRDefault="00A635BD" w:rsidP="006C071E">
            <w:pPr>
              <w:pStyle w:val="Bodyindent"/>
              <w:jc w:val="both"/>
              <w:rPr>
                <w:rFonts w:ascii="Times New Roman" w:hAnsi="Times New Roman"/>
                <w:sz w:val="16"/>
                <w:szCs w:val="16"/>
              </w:rPr>
            </w:pPr>
            <w:r w:rsidRPr="006720BA">
              <w:rPr>
                <w:rFonts w:ascii="Times New Roman" w:eastAsia="Verdana" w:hAnsi="Times New Roman"/>
                <w:sz w:val="16"/>
                <w:szCs w:val="16"/>
              </w:rPr>
              <w:lastRenderedPageBreak/>
              <w:fldChar w:fldCharType="begin" w:fldLock="1">
                <w:ffData>
                  <w:name w:val=""/>
                  <w:enabled/>
                  <w:calcOnExit w:val="0"/>
                  <w:checkBox>
                    <w:size w:val="16"/>
                    <w:default w:val="0"/>
                  </w:checkBox>
                </w:ffData>
              </w:fldChar>
            </w:r>
            <w:r w:rsidRPr="006720BA">
              <w:rPr>
                <w:rFonts w:ascii="Times New Roman" w:eastAsia="Verdana" w:hAnsi="Times New Roman"/>
                <w:sz w:val="16"/>
                <w:szCs w:val="16"/>
              </w:rPr>
              <w:instrText xml:space="preserve"> FORMCHECKBOX </w:instrText>
            </w:r>
            <w:r w:rsidR="008B056F">
              <w:rPr>
                <w:rFonts w:ascii="Times New Roman" w:eastAsia="Verdana" w:hAnsi="Times New Roman"/>
                <w:sz w:val="16"/>
                <w:szCs w:val="16"/>
              </w:rPr>
            </w:r>
            <w:r w:rsidR="008B056F">
              <w:rPr>
                <w:rFonts w:ascii="Times New Roman" w:eastAsia="Verdana" w:hAnsi="Times New Roman"/>
                <w:sz w:val="16"/>
                <w:szCs w:val="16"/>
              </w:rPr>
              <w:fldChar w:fldCharType="separate"/>
            </w:r>
            <w:r w:rsidRPr="006720BA">
              <w:rPr>
                <w:rFonts w:ascii="Times New Roman" w:eastAsia="Verdana" w:hAnsi="Times New Roman"/>
                <w:sz w:val="16"/>
                <w:szCs w:val="16"/>
              </w:rPr>
              <w:fldChar w:fldCharType="end"/>
            </w:r>
            <w:r w:rsidRPr="006720BA">
              <w:rPr>
                <w:rFonts w:ascii="Times New Roman" w:eastAsia="Verdana" w:hAnsi="Times New Roman"/>
                <w:sz w:val="16"/>
                <w:szCs w:val="16"/>
              </w:rPr>
              <w:t xml:space="preserve"> the Approved EU SCCs, including the Appendix Information and with only the </w:t>
            </w:r>
            <w:r w:rsidRPr="006720BA">
              <w:rPr>
                <w:rFonts w:ascii="Times New Roman" w:hAnsi="Times New Roman"/>
                <w:sz w:val="16"/>
                <w:szCs w:val="16"/>
              </w:rPr>
              <w:t xml:space="preserve">following modules, clauses or optional provisions of the Approved EU SCCs brought into effect for the purposes of this Addendum: </w:t>
            </w:r>
          </w:p>
        </w:tc>
      </w:tr>
    </w:tbl>
    <w:p w14:paraId="4BF938BB" w14:textId="77777777" w:rsidR="00A635BD" w:rsidRPr="006720BA" w:rsidRDefault="00A635BD" w:rsidP="00A635BD">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lastRenderedPageBreak/>
        <w:t>Table 3: Appendix Information</w:t>
      </w:r>
    </w:p>
    <w:p w14:paraId="3302409E" w14:textId="77777777" w:rsidR="00A635BD" w:rsidRPr="006720BA" w:rsidRDefault="00A635BD" w:rsidP="006C071E">
      <w:pPr>
        <w:jc w:val="both"/>
        <w:rPr>
          <w:rFonts w:ascii="Times New Roman" w:hAnsi="Times New Roman" w:cs="Times New Roman"/>
          <w:sz w:val="16"/>
          <w:szCs w:val="16"/>
        </w:rPr>
      </w:pPr>
      <w:r w:rsidRPr="006720BA">
        <w:rPr>
          <w:rFonts w:ascii="Times New Roman" w:hAnsi="Times New Roman" w:cs="Times New Roman"/>
          <w:sz w:val="16"/>
          <w:szCs w:val="16"/>
        </w:rPr>
        <w:t>“</w:t>
      </w:r>
      <w:r w:rsidRPr="006720BA">
        <w:rPr>
          <w:rFonts w:ascii="Times New Roman" w:hAnsi="Times New Roman" w:cs="Times New Roman"/>
          <w:b/>
          <w:bCs/>
          <w:sz w:val="16"/>
          <w:szCs w:val="16"/>
        </w:rPr>
        <w:t>Appendix Information</w:t>
      </w:r>
      <w:r w:rsidRPr="006720BA">
        <w:rPr>
          <w:rFonts w:ascii="Times New Roman" w:hAnsi="Times New Roman" w:cs="Times New Roman"/>
          <w:sz w:val="16"/>
          <w:szCs w:val="16"/>
        </w:rPr>
        <w:t>” means the information which must be provided for the selected modules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A635BD" w:rsidRPr="006720BA" w14:paraId="54EE546F" w14:textId="77777777" w:rsidTr="00C131CD">
        <w:tc>
          <w:tcPr>
            <w:tcW w:w="9017" w:type="dxa"/>
          </w:tcPr>
          <w:p w14:paraId="7875A957"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1A: List of Parties: </w:t>
            </w:r>
            <w:r>
              <w:rPr>
                <w:rFonts w:ascii="Times New Roman" w:hAnsi="Times New Roman"/>
                <w:sz w:val="16"/>
                <w:szCs w:val="16"/>
              </w:rPr>
              <w:t>The Data Exporter and Data Importer as defined in Annex I of the EU SCCs above.</w:t>
            </w:r>
          </w:p>
        </w:tc>
      </w:tr>
      <w:tr w:rsidR="00A635BD" w:rsidRPr="006720BA" w14:paraId="237AA6C3" w14:textId="77777777" w:rsidTr="00C131CD">
        <w:tc>
          <w:tcPr>
            <w:tcW w:w="9017" w:type="dxa"/>
          </w:tcPr>
          <w:p w14:paraId="5629FA78"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1B: Description of Transfer: </w:t>
            </w:r>
            <w:r>
              <w:rPr>
                <w:rFonts w:ascii="Times New Roman" w:hAnsi="Times New Roman"/>
                <w:sz w:val="16"/>
                <w:szCs w:val="16"/>
              </w:rPr>
              <w:t>As set out in Annex I of the EU SCCs above.</w:t>
            </w:r>
          </w:p>
        </w:tc>
      </w:tr>
      <w:tr w:rsidR="00A635BD" w:rsidRPr="006720BA" w14:paraId="75163D02" w14:textId="77777777" w:rsidTr="00C131CD">
        <w:tc>
          <w:tcPr>
            <w:tcW w:w="9017" w:type="dxa"/>
          </w:tcPr>
          <w:p w14:paraId="335C4029"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II: Technical and organisational measures including technical and organisational measures to ensure the security of the data: </w:t>
            </w:r>
            <w:r>
              <w:rPr>
                <w:rFonts w:ascii="Times New Roman" w:hAnsi="Times New Roman"/>
                <w:sz w:val="16"/>
                <w:szCs w:val="16"/>
              </w:rPr>
              <w:t>As set out in Annex II of the EU SCCs above.</w:t>
            </w:r>
          </w:p>
        </w:tc>
      </w:tr>
      <w:tr w:rsidR="00A635BD" w:rsidRPr="006720BA" w14:paraId="428D1713" w14:textId="77777777" w:rsidTr="00C131CD">
        <w:tc>
          <w:tcPr>
            <w:tcW w:w="9017" w:type="dxa"/>
            <w:tcBorders>
              <w:bottom w:val="single" w:sz="18" w:space="0" w:color="FFC000"/>
            </w:tcBorders>
          </w:tcPr>
          <w:p w14:paraId="712F66F1"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III: List of Sub processors (Modules 2 and 3 only): </w:t>
            </w:r>
            <w:r>
              <w:rPr>
                <w:rFonts w:ascii="Times New Roman" w:hAnsi="Times New Roman"/>
                <w:sz w:val="16"/>
                <w:szCs w:val="16"/>
              </w:rPr>
              <w:t>As set out in Annex III of the EU SCCs above.</w:t>
            </w:r>
          </w:p>
        </w:tc>
      </w:tr>
    </w:tbl>
    <w:p w14:paraId="39BB008E" w14:textId="77777777" w:rsidR="00A635BD" w:rsidRPr="006720BA" w:rsidRDefault="00A635BD" w:rsidP="00A635BD">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72"/>
        <w:gridCol w:w="7488"/>
      </w:tblGrid>
      <w:tr w:rsidR="00A635BD" w:rsidRPr="006720BA" w14:paraId="37B3A49E" w14:textId="77777777" w:rsidTr="00C131CD">
        <w:tc>
          <w:tcPr>
            <w:tcW w:w="957" w:type="pct"/>
            <w:tcBorders>
              <w:bottom w:val="single" w:sz="18" w:space="0" w:color="FFC000"/>
            </w:tcBorders>
            <w:shd w:val="clear" w:color="auto" w:fill="FFF9DD"/>
          </w:tcPr>
          <w:p w14:paraId="56111A75" w14:textId="77777777" w:rsidR="00A635BD" w:rsidRPr="006720BA" w:rsidRDefault="00A635BD" w:rsidP="00C131CD">
            <w:pPr>
              <w:pStyle w:val="Body"/>
              <w:rPr>
                <w:rFonts w:ascii="Times New Roman" w:hAnsi="Times New Roman"/>
                <w:b/>
                <w:bCs/>
                <w:sz w:val="16"/>
                <w:szCs w:val="16"/>
              </w:rPr>
            </w:pPr>
            <w:r w:rsidRPr="006720BA">
              <w:rPr>
                <w:rFonts w:ascii="Times New Roman" w:hAnsi="Times New Roman"/>
                <w:b/>
                <w:bCs/>
                <w:sz w:val="16"/>
                <w:szCs w:val="16"/>
              </w:rPr>
              <w:t>Ending this Addendum when the Approved Addendum changes</w:t>
            </w:r>
          </w:p>
        </w:tc>
        <w:tc>
          <w:tcPr>
            <w:tcW w:w="4043" w:type="pct"/>
            <w:tcBorders>
              <w:bottom w:val="single" w:sz="18" w:space="0" w:color="FFC000"/>
            </w:tcBorders>
          </w:tcPr>
          <w:p w14:paraId="6930D04B" w14:textId="77777777" w:rsidR="00A635BD" w:rsidRPr="006720BA" w:rsidRDefault="00A635BD" w:rsidP="00C131CD">
            <w:pPr>
              <w:pStyle w:val="Body"/>
              <w:rPr>
                <w:rFonts w:ascii="Times New Roman" w:hAnsi="Times New Roman"/>
                <w:sz w:val="16"/>
                <w:szCs w:val="16"/>
              </w:rPr>
            </w:pPr>
            <w:r w:rsidRPr="006720BA">
              <w:rPr>
                <w:rFonts w:ascii="Times New Roman" w:hAnsi="Times New Roman"/>
                <w:sz w:val="16"/>
                <w:szCs w:val="16"/>
              </w:rPr>
              <w:t xml:space="preserve">Which Parties may end this Addendum as set out in Section </w:t>
            </w:r>
            <w:r w:rsidRPr="006720BA">
              <w:rPr>
                <w:rFonts w:ascii="Times New Roman" w:hAnsi="Times New Roman"/>
                <w:sz w:val="16"/>
                <w:szCs w:val="16"/>
              </w:rPr>
              <w:fldChar w:fldCharType="begin"/>
            </w:r>
            <w:r w:rsidRPr="006720BA">
              <w:rPr>
                <w:rFonts w:ascii="Times New Roman" w:hAnsi="Times New Roman"/>
                <w:sz w:val="16"/>
                <w:szCs w:val="16"/>
              </w:rPr>
              <w:instrText xml:space="preserve"> REF _Ref93329888 \r \h  \* MERGEFORMAT </w:instrText>
            </w:r>
            <w:r w:rsidRPr="006720BA">
              <w:rPr>
                <w:rFonts w:ascii="Times New Roman" w:hAnsi="Times New Roman"/>
                <w:sz w:val="16"/>
                <w:szCs w:val="16"/>
              </w:rPr>
            </w:r>
            <w:r w:rsidRPr="006720BA">
              <w:rPr>
                <w:rFonts w:ascii="Times New Roman" w:hAnsi="Times New Roman"/>
                <w:sz w:val="16"/>
                <w:szCs w:val="16"/>
              </w:rPr>
              <w:fldChar w:fldCharType="separate"/>
            </w:r>
            <w:r w:rsidRPr="006720BA">
              <w:rPr>
                <w:rFonts w:ascii="Times New Roman" w:hAnsi="Times New Roman"/>
                <w:sz w:val="16"/>
                <w:szCs w:val="16"/>
                <w:cs/>
              </w:rPr>
              <w:t>‎</w:t>
            </w:r>
            <w:r w:rsidRPr="006720BA">
              <w:rPr>
                <w:rFonts w:ascii="Times New Roman" w:hAnsi="Times New Roman"/>
                <w:sz w:val="16"/>
                <w:szCs w:val="16"/>
              </w:rPr>
              <w:t>19</w:t>
            </w:r>
            <w:r w:rsidRPr="006720BA">
              <w:rPr>
                <w:rFonts w:ascii="Times New Roman" w:hAnsi="Times New Roman"/>
                <w:sz w:val="16"/>
                <w:szCs w:val="16"/>
              </w:rPr>
              <w:fldChar w:fldCharType="end"/>
            </w:r>
            <w:r w:rsidRPr="006720BA">
              <w:rPr>
                <w:rFonts w:ascii="Times New Roman" w:hAnsi="Times New Roman"/>
                <w:sz w:val="16"/>
                <w:szCs w:val="16"/>
              </w:rPr>
              <w:t>:</w:t>
            </w:r>
          </w:p>
          <w:p w14:paraId="10B3CCA1" w14:textId="77777777" w:rsidR="00A635BD" w:rsidRPr="006720BA" w:rsidRDefault="00A635BD" w:rsidP="00C131CD">
            <w:pPr>
              <w:pStyle w:val="Body"/>
              <w:rPr>
                <w:rFonts w:ascii="Times New Roman" w:hAnsi="Times New Roman"/>
                <w:sz w:val="16"/>
                <w:szCs w:val="16"/>
              </w:rPr>
            </w:pPr>
            <w:r>
              <w:rPr>
                <w:rFonts w:ascii="Times New Roman" w:hAnsi="Times New Roman"/>
                <w:sz w:val="16"/>
                <w:szCs w:val="16"/>
              </w:rPr>
              <w:fldChar w:fldCharType="begin">
                <w:ffData>
                  <w:name w:val=""/>
                  <w:enabled/>
                  <w:calcOnExit w:val="0"/>
                  <w:checkBox>
                    <w:size w:val="16"/>
                    <w:default w:val="1"/>
                  </w:checkBox>
                </w:ffData>
              </w:fldChar>
            </w:r>
            <w:r>
              <w:rPr>
                <w:rFonts w:ascii="Times New Roman" w:hAnsi="Times New Roman"/>
                <w:sz w:val="16"/>
                <w:szCs w:val="16"/>
              </w:rPr>
              <w:instrText xml:space="preserve"> FORMCHECKBOX </w:instrText>
            </w:r>
            <w:r w:rsidR="008B056F">
              <w:rPr>
                <w:rFonts w:ascii="Times New Roman" w:hAnsi="Times New Roman"/>
                <w:sz w:val="16"/>
                <w:szCs w:val="16"/>
              </w:rPr>
            </w:r>
            <w:r w:rsidR="008B056F">
              <w:rPr>
                <w:rFonts w:ascii="Times New Roman" w:hAnsi="Times New Roman"/>
                <w:sz w:val="16"/>
                <w:szCs w:val="16"/>
              </w:rPr>
              <w:fldChar w:fldCharType="separate"/>
            </w:r>
            <w:r>
              <w:rPr>
                <w:rFonts w:ascii="Times New Roman" w:hAnsi="Times New Roman"/>
                <w:sz w:val="16"/>
                <w:szCs w:val="16"/>
              </w:rPr>
              <w:fldChar w:fldCharType="end"/>
            </w:r>
            <w:r w:rsidRPr="006720BA">
              <w:rPr>
                <w:rFonts w:ascii="Times New Roman" w:hAnsi="Times New Roman"/>
                <w:sz w:val="16"/>
                <w:szCs w:val="16"/>
              </w:rPr>
              <w:t xml:space="preserve"> Importer</w:t>
            </w:r>
          </w:p>
          <w:p w14:paraId="5CBDE7DF" w14:textId="77777777" w:rsidR="00A635BD" w:rsidRPr="006720BA" w:rsidRDefault="00A635BD" w:rsidP="00C131CD">
            <w:pPr>
              <w:pStyle w:val="Body"/>
              <w:rPr>
                <w:rFonts w:ascii="Times New Roman" w:hAnsi="Times New Roman"/>
                <w:sz w:val="16"/>
                <w:szCs w:val="16"/>
              </w:rPr>
            </w:pPr>
            <w:r>
              <w:rPr>
                <w:rFonts w:ascii="Times New Roman" w:hAnsi="Times New Roman"/>
                <w:sz w:val="16"/>
                <w:szCs w:val="16"/>
              </w:rPr>
              <w:fldChar w:fldCharType="begin">
                <w:ffData>
                  <w:name w:val=""/>
                  <w:enabled/>
                  <w:calcOnExit w:val="0"/>
                  <w:checkBox>
                    <w:size w:val="16"/>
                    <w:default w:val="1"/>
                  </w:checkBox>
                </w:ffData>
              </w:fldChar>
            </w:r>
            <w:r>
              <w:rPr>
                <w:rFonts w:ascii="Times New Roman" w:hAnsi="Times New Roman"/>
                <w:sz w:val="16"/>
                <w:szCs w:val="16"/>
              </w:rPr>
              <w:instrText xml:space="preserve"> FORMCHECKBOX </w:instrText>
            </w:r>
            <w:r w:rsidR="008B056F">
              <w:rPr>
                <w:rFonts w:ascii="Times New Roman" w:hAnsi="Times New Roman"/>
                <w:sz w:val="16"/>
                <w:szCs w:val="16"/>
              </w:rPr>
            </w:r>
            <w:r w:rsidR="008B056F">
              <w:rPr>
                <w:rFonts w:ascii="Times New Roman" w:hAnsi="Times New Roman"/>
                <w:sz w:val="16"/>
                <w:szCs w:val="16"/>
              </w:rPr>
              <w:fldChar w:fldCharType="separate"/>
            </w:r>
            <w:r>
              <w:rPr>
                <w:rFonts w:ascii="Times New Roman" w:hAnsi="Times New Roman"/>
                <w:sz w:val="16"/>
                <w:szCs w:val="16"/>
              </w:rPr>
              <w:fldChar w:fldCharType="end"/>
            </w:r>
            <w:r w:rsidRPr="006720BA">
              <w:rPr>
                <w:rFonts w:ascii="Times New Roman" w:hAnsi="Times New Roman"/>
                <w:sz w:val="16"/>
                <w:szCs w:val="16"/>
              </w:rPr>
              <w:t xml:space="preserve"> Exporter</w:t>
            </w:r>
          </w:p>
          <w:p w14:paraId="7C75365E" w14:textId="77777777" w:rsidR="00A635BD" w:rsidRPr="006720BA" w:rsidRDefault="00A635BD" w:rsidP="00C131CD">
            <w:pPr>
              <w:pStyle w:val="Body"/>
              <w:rPr>
                <w:rFonts w:ascii="Times New Roman" w:hAnsi="Times New Roman"/>
                <w:sz w:val="16"/>
                <w:szCs w:val="16"/>
              </w:rPr>
            </w:pPr>
            <w:r w:rsidRPr="006720BA">
              <w:rPr>
                <w:rFonts w:ascii="Times New Roman" w:hAnsi="Times New Roman"/>
                <w:sz w:val="16"/>
                <w:szCs w:val="16"/>
              </w:rPr>
              <w:fldChar w:fldCharType="begin" w:fldLock="1">
                <w:ffData>
                  <w:name w:val=""/>
                  <w:enabled/>
                  <w:calcOnExit w:val="0"/>
                  <w:checkBox>
                    <w:size w:val="16"/>
                    <w:default w:val="0"/>
                  </w:checkBox>
                </w:ffData>
              </w:fldChar>
            </w:r>
            <w:r w:rsidRPr="006720BA">
              <w:rPr>
                <w:rFonts w:ascii="Times New Roman" w:hAnsi="Times New Roman"/>
                <w:sz w:val="16"/>
                <w:szCs w:val="16"/>
              </w:rPr>
              <w:instrText xml:space="preserve"> FORMCHECKBOX </w:instrText>
            </w:r>
            <w:r w:rsidR="008B056F">
              <w:rPr>
                <w:rFonts w:ascii="Times New Roman" w:hAnsi="Times New Roman"/>
                <w:sz w:val="16"/>
                <w:szCs w:val="16"/>
              </w:rPr>
            </w:r>
            <w:r w:rsidR="008B056F">
              <w:rPr>
                <w:rFonts w:ascii="Times New Roman" w:hAnsi="Times New Roman"/>
                <w:sz w:val="16"/>
                <w:szCs w:val="16"/>
              </w:rPr>
              <w:fldChar w:fldCharType="separate"/>
            </w:r>
            <w:r w:rsidRPr="006720BA">
              <w:rPr>
                <w:rFonts w:ascii="Times New Roman" w:hAnsi="Times New Roman"/>
                <w:sz w:val="16"/>
                <w:szCs w:val="16"/>
              </w:rPr>
              <w:fldChar w:fldCharType="end"/>
            </w:r>
            <w:r w:rsidRPr="006720BA">
              <w:rPr>
                <w:rFonts w:ascii="Times New Roman" w:hAnsi="Times New Roman"/>
                <w:sz w:val="16"/>
                <w:szCs w:val="16"/>
              </w:rPr>
              <w:t xml:space="preserve"> neither Party</w:t>
            </w:r>
          </w:p>
        </w:tc>
      </w:tr>
    </w:tbl>
    <w:p w14:paraId="01BF0D9B" w14:textId="77777777" w:rsidR="00A635BD" w:rsidRPr="006720BA" w:rsidRDefault="00A635BD" w:rsidP="00A635BD">
      <w:pPr>
        <w:pStyle w:val="Heading2"/>
        <w:rPr>
          <w:rFonts w:ascii="Times New Roman" w:hAnsi="Times New Roman" w:cs="Times New Roman"/>
          <w:color w:val="auto"/>
          <w:sz w:val="16"/>
          <w:szCs w:val="16"/>
        </w:rPr>
      </w:pPr>
      <w:r w:rsidRPr="006720BA">
        <w:rPr>
          <w:rFonts w:ascii="Times New Roman" w:hAnsi="Times New Roman" w:cs="Times New Roman"/>
          <w:color w:val="auto"/>
          <w:sz w:val="16"/>
          <w:szCs w:val="16"/>
        </w:rPr>
        <w:t>Part 2: Mandatory Clauses</w:t>
      </w:r>
    </w:p>
    <w:p w14:paraId="19799C5F" w14:textId="77777777" w:rsidR="00A635BD" w:rsidRPr="006720BA" w:rsidRDefault="00A635BD" w:rsidP="00A635BD">
      <w:pPr>
        <w:pStyle w:val="Heading3"/>
        <w:rPr>
          <w:rFonts w:ascii="Times New Roman" w:hAnsi="Times New Roman" w:cs="Times New Roman"/>
          <w:color w:val="auto"/>
          <w:sz w:val="16"/>
          <w:szCs w:val="16"/>
        </w:rPr>
      </w:pPr>
      <w:proofErr w:type="gramStart"/>
      <w:r w:rsidRPr="006720BA">
        <w:rPr>
          <w:rFonts w:ascii="Times New Roman" w:hAnsi="Times New Roman" w:cs="Times New Roman"/>
          <w:color w:val="auto"/>
          <w:sz w:val="16"/>
          <w:szCs w:val="16"/>
        </w:rPr>
        <w:t>Entering into</w:t>
      </w:r>
      <w:proofErr w:type="gramEnd"/>
      <w:r w:rsidRPr="006720BA">
        <w:rPr>
          <w:rFonts w:ascii="Times New Roman" w:hAnsi="Times New Roman" w:cs="Times New Roman"/>
          <w:color w:val="auto"/>
          <w:sz w:val="16"/>
          <w:szCs w:val="16"/>
        </w:rPr>
        <w:t xml:space="preserve"> this Addendum</w:t>
      </w:r>
    </w:p>
    <w:p w14:paraId="6970B0AB"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Each Party agrees to be bound by the terms and conditions set out in this Addendum, in exchange for the other Party also agreeing to be bound by this Addendum.</w:t>
      </w:r>
    </w:p>
    <w:p w14:paraId="23367DE5" w14:textId="77777777" w:rsidR="00A635BD" w:rsidRPr="006720BA" w:rsidRDefault="00A635BD" w:rsidP="006C071E">
      <w:pPr>
        <w:pStyle w:val="NormalNumbered"/>
        <w:jc w:val="both"/>
        <w:rPr>
          <w:rFonts w:ascii="Times New Roman" w:hAnsi="Times New Roman" w:cs="Times New Roman"/>
          <w:color w:val="auto"/>
          <w:sz w:val="16"/>
          <w:szCs w:val="16"/>
        </w:rPr>
      </w:pPr>
      <w:bookmarkStart w:id="23" w:name="_Ref90904580"/>
      <w:r w:rsidRPr="006720BA">
        <w:rPr>
          <w:rFonts w:ascii="Times New Roman" w:hAnsi="Times New Roman" w:cs="Times New Roman"/>
          <w:color w:val="auto"/>
          <w:sz w:val="16"/>
          <w:szCs w:val="16"/>
        </w:rPr>
        <w:t xml:space="preserve">Although Annex 1A and Clause 7 of the Approved EU SCCs require signature by the Parties, for the purpose of making Restricted Transfers, the Parties may </w:t>
      </w:r>
      <w:proofErr w:type="gramStart"/>
      <w:r w:rsidRPr="006720BA">
        <w:rPr>
          <w:rFonts w:ascii="Times New Roman" w:hAnsi="Times New Roman" w:cs="Times New Roman"/>
          <w:color w:val="auto"/>
          <w:sz w:val="16"/>
          <w:szCs w:val="16"/>
        </w:rPr>
        <w:t>enter into</w:t>
      </w:r>
      <w:proofErr w:type="gramEnd"/>
      <w:r w:rsidRPr="006720BA">
        <w:rPr>
          <w:rFonts w:ascii="Times New Roman" w:hAnsi="Times New Roman" w:cs="Times New Roman"/>
          <w:color w:val="auto"/>
          <w:sz w:val="16"/>
          <w:szCs w:val="16"/>
        </w:rPr>
        <w:t xml:space="preserve"> this Addendum in any way that makes them legally binding on the Parties and allows data subjects to enforce their rights as set out in this Addendum. </w:t>
      </w:r>
      <w:proofErr w:type="gramStart"/>
      <w:r w:rsidRPr="006720BA">
        <w:rPr>
          <w:rFonts w:ascii="Times New Roman" w:hAnsi="Times New Roman" w:cs="Times New Roman"/>
          <w:color w:val="auto"/>
          <w:sz w:val="16"/>
          <w:szCs w:val="16"/>
        </w:rPr>
        <w:t>Entering into</w:t>
      </w:r>
      <w:proofErr w:type="gramEnd"/>
      <w:r w:rsidRPr="006720BA">
        <w:rPr>
          <w:rFonts w:ascii="Times New Roman" w:hAnsi="Times New Roman" w:cs="Times New Roman"/>
          <w:color w:val="auto"/>
          <w:sz w:val="16"/>
          <w:szCs w:val="16"/>
        </w:rPr>
        <w:t xml:space="preserve"> this Addendum will have the same effect as signing the Approved EU SCCs and any part of the Approved EU SCCs.</w:t>
      </w:r>
      <w:bookmarkEnd w:id="23"/>
    </w:p>
    <w:p w14:paraId="7C8871A3" w14:textId="77777777" w:rsidR="00A635BD" w:rsidRPr="006720BA" w:rsidRDefault="00A635BD" w:rsidP="00A635BD">
      <w:pPr>
        <w:pStyle w:val="Heading3"/>
        <w:rPr>
          <w:rFonts w:ascii="Times New Roman" w:hAnsi="Times New Roman" w:cs="Times New Roman"/>
          <w:color w:val="auto"/>
          <w:sz w:val="16"/>
          <w:szCs w:val="16"/>
        </w:rPr>
      </w:pPr>
      <w:bookmarkStart w:id="24" w:name="_Hlk92885712"/>
      <w:r w:rsidRPr="006720BA">
        <w:rPr>
          <w:rFonts w:ascii="Times New Roman" w:hAnsi="Times New Roman" w:cs="Times New Roman"/>
          <w:color w:val="auto"/>
          <w:sz w:val="16"/>
          <w:szCs w:val="16"/>
        </w:rPr>
        <w:t xml:space="preserve">Interpretation of this Addendum </w:t>
      </w:r>
    </w:p>
    <w:p w14:paraId="197C63F1"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Where this Addendum uses terms that are defined in the Approved EU SCCs those terms shall have the same meaning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619"/>
        <w:gridCol w:w="6647"/>
      </w:tblGrid>
      <w:tr w:rsidR="00A635BD" w:rsidRPr="006720BA" w14:paraId="1048A4C1" w14:textId="77777777" w:rsidTr="00C131CD">
        <w:tc>
          <w:tcPr>
            <w:tcW w:w="1413" w:type="pct"/>
            <w:tcBorders>
              <w:top w:val="single" w:sz="4" w:space="0" w:color="FFC000"/>
              <w:right w:val="single" w:sz="4" w:space="0" w:color="FFC000"/>
            </w:tcBorders>
            <w:shd w:val="clear" w:color="auto" w:fill="FFF9DD"/>
          </w:tcPr>
          <w:p w14:paraId="5412D36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Addendum </w:t>
            </w:r>
          </w:p>
        </w:tc>
        <w:tc>
          <w:tcPr>
            <w:tcW w:w="3587" w:type="pct"/>
            <w:tcBorders>
              <w:top w:val="single" w:sz="4" w:space="0" w:color="FFC000"/>
              <w:left w:val="single" w:sz="4" w:space="0" w:color="FFC000"/>
            </w:tcBorders>
          </w:tcPr>
          <w:p w14:paraId="7145728E"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This International Data Transfer Addendum which is made up of this Addendum incorporating the Addendum EU SCCs.</w:t>
            </w:r>
          </w:p>
        </w:tc>
      </w:tr>
      <w:tr w:rsidR="00A635BD" w:rsidRPr="006720BA" w14:paraId="24646B28" w14:textId="77777777" w:rsidTr="00C131CD">
        <w:tc>
          <w:tcPr>
            <w:tcW w:w="1413" w:type="pct"/>
            <w:tcBorders>
              <w:right w:val="single" w:sz="4" w:space="0" w:color="FFC000"/>
            </w:tcBorders>
            <w:shd w:val="clear" w:color="auto" w:fill="FFF9DD"/>
          </w:tcPr>
          <w:p w14:paraId="4DE53AA2"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Addendum EU SCCs</w:t>
            </w:r>
          </w:p>
        </w:tc>
        <w:tc>
          <w:tcPr>
            <w:tcW w:w="3587" w:type="pct"/>
            <w:tcBorders>
              <w:left w:val="single" w:sz="4" w:space="0" w:color="FFC000"/>
            </w:tcBorders>
          </w:tcPr>
          <w:p w14:paraId="6E072D5E"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version(s) of the Approved EU SCCs which this Addendum is appended to, as set out in Table 2, including the Appendix Information.</w:t>
            </w:r>
          </w:p>
        </w:tc>
      </w:tr>
      <w:tr w:rsidR="00A635BD" w:rsidRPr="006720BA" w14:paraId="37E496E5" w14:textId="77777777" w:rsidTr="00C131CD">
        <w:tc>
          <w:tcPr>
            <w:tcW w:w="1413" w:type="pct"/>
            <w:tcBorders>
              <w:right w:val="single" w:sz="4" w:space="0" w:color="FFC000"/>
            </w:tcBorders>
            <w:shd w:val="clear" w:color="auto" w:fill="FFF9DD"/>
          </w:tcPr>
          <w:p w14:paraId="3B6FA8AF"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lastRenderedPageBreak/>
              <w:t>Appendix Information</w:t>
            </w:r>
          </w:p>
        </w:tc>
        <w:tc>
          <w:tcPr>
            <w:tcW w:w="3587" w:type="pct"/>
            <w:tcBorders>
              <w:left w:val="single" w:sz="4" w:space="0" w:color="FFC000"/>
            </w:tcBorders>
          </w:tcPr>
          <w:p w14:paraId="45A72288" w14:textId="77777777" w:rsidR="00A635BD" w:rsidRPr="006720BA" w:rsidRDefault="00A635BD" w:rsidP="006C071E">
            <w:pPr>
              <w:pStyle w:val="Body"/>
              <w:jc w:val="both"/>
              <w:rPr>
                <w:rFonts w:ascii="Times New Roman" w:hAnsi="Times New Roman" w:cs="Times New Roman"/>
                <w:sz w:val="16"/>
                <w:szCs w:val="16"/>
                <w:highlight w:val="green"/>
              </w:rPr>
            </w:pPr>
            <w:r w:rsidRPr="006720BA">
              <w:rPr>
                <w:rFonts w:ascii="Times New Roman" w:hAnsi="Times New Roman" w:cs="Times New Roman"/>
                <w:sz w:val="16"/>
                <w:szCs w:val="16"/>
              </w:rPr>
              <w:t>As set out in Table ‎3.</w:t>
            </w:r>
          </w:p>
        </w:tc>
      </w:tr>
      <w:tr w:rsidR="00A635BD" w:rsidRPr="006720BA" w14:paraId="41B9424B" w14:textId="77777777" w:rsidTr="00C131CD">
        <w:tc>
          <w:tcPr>
            <w:tcW w:w="1413" w:type="pct"/>
            <w:tcBorders>
              <w:right w:val="single" w:sz="4" w:space="0" w:color="FFC000"/>
            </w:tcBorders>
            <w:shd w:val="clear" w:color="auto" w:fill="FFF9DD"/>
          </w:tcPr>
          <w:p w14:paraId="577DA0B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Appropriate Safeguards</w:t>
            </w:r>
          </w:p>
        </w:tc>
        <w:tc>
          <w:tcPr>
            <w:tcW w:w="3587" w:type="pct"/>
            <w:tcBorders>
              <w:left w:val="single" w:sz="4" w:space="0" w:color="FFC000"/>
            </w:tcBorders>
          </w:tcPr>
          <w:p w14:paraId="098B57F0"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standard of protection over the personal data and of data subjects’ rights, which is required by UK Data Protection Laws when you are making a Restricted Transfer relying on standard data protection clauses under Article 46(2)(d) UK GDPR.</w:t>
            </w:r>
          </w:p>
        </w:tc>
      </w:tr>
      <w:tr w:rsidR="00A635BD" w:rsidRPr="006720BA" w14:paraId="2BEC4ECC" w14:textId="77777777" w:rsidTr="00C131CD">
        <w:tc>
          <w:tcPr>
            <w:tcW w:w="1413" w:type="pct"/>
            <w:tcBorders>
              <w:right w:val="single" w:sz="4" w:space="0" w:color="FFC000"/>
            </w:tcBorders>
            <w:shd w:val="clear" w:color="auto" w:fill="FFF9DD"/>
          </w:tcPr>
          <w:p w14:paraId="7B31023F"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Approved Addendum</w:t>
            </w:r>
          </w:p>
        </w:tc>
        <w:tc>
          <w:tcPr>
            <w:tcW w:w="3587" w:type="pct"/>
            <w:tcBorders>
              <w:left w:val="single" w:sz="4" w:space="0" w:color="FFC000"/>
            </w:tcBorders>
            <w:vAlign w:val="center"/>
          </w:tcPr>
          <w:p w14:paraId="22302446"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 xml:space="preserve">The template Addendum issued by the ICO and laid before Parliament in accordance with s119A of the Data Protection Act 2018 on 2 February 2022, as it is revised under Section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_Ref90907400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18</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w:t>
            </w:r>
          </w:p>
        </w:tc>
      </w:tr>
      <w:tr w:rsidR="00A635BD" w:rsidRPr="006720BA" w14:paraId="26312EE6" w14:textId="77777777" w:rsidTr="00C131CD">
        <w:tc>
          <w:tcPr>
            <w:tcW w:w="1413" w:type="pct"/>
            <w:tcBorders>
              <w:right w:val="single" w:sz="4" w:space="0" w:color="FFC000"/>
            </w:tcBorders>
            <w:shd w:val="clear" w:color="auto" w:fill="FFF9DD"/>
          </w:tcPr>
          <w:p w14:paraId="2397B8E2"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Approved EU SCCs </w:t>
            </w:r>
          </w:p>
        </w:tc>
        <w:tc>
          <w:tcPr>
            <w:tcW w:w="3587" w:type="pct"/>
            <w:tcBorders>
              <w:left w:val="single" w:sz="4" w:space="0" w:color="FFC000"/>
            </w:tcBorders>
          </w:tcPr>
          <w:p w14:paraId="0E9C889A"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Standard Contractual Clauses set out in the Annex of Commission Implementing Decision (EU) 2021/914 of 4 June 2021.</w:t>
            </w:r>
          </w:p>
        </w:tc>
      </w:tr>
      <w:tr w:rsidR="00A635BD" w:rsidRPr="006720BA" w14:paraId="111D574B" w14:textId="77777777" w:rsidTr="00C131CD">
        <w:tc>
          <w:tcPr>
            <w:tcW w:w="1413" w:type="pct"/>
            <w:tcBorders>
              <w:right w:val="single" w:sz="4" w:space="0" w:color="FFC000"/>
            </w:tcBorders>
            <w:shd w:val="clear" w:color="auto" w:fill="FFF9DD"/>
          </w:tcPr>
          <w:p w14:paraId="47E0F4D0"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ICO</w:t>
            </w:r>
          </w:p>
        </w:tc>
        <w:tc>
          <w:tcPr>
            <w:tcW w:w="3587" w:type="pct"/>
            <w:tcBorders>
              <w:left w:val="single" w:sz="4" w:space="0" w:color="FFC000"/>
            </w:tcBorders>
          </w:tcPr>
          <w:p w14:paraId="1C1C9F70"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Information Commissioner.</w:t>
            </w:r>
          </w:p>
        </w:tc>
      </w:tr>
      <w:tr w:rsidR="00A635BD" w:rsidRPr="006720BA" w14:paraId="32B328B6" w14:textId="77777777" w:rsidTr="00C131CD">
        <w:tc>
          <w:tcPr>
            <w:tcW w:w="1413" w:type="pct"/>
            <w:tcBorders>
              <w:right w:val="single" w:sz="4" w:space="0" w:color="FFC000"/>
            </w:tcBorders>
            <w:shd w:val="clear" w:color="auto" w:fill="FFF9DD"/>
          </w:tcPr>
          <w:p w14:paraId="2DAA964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Restricted Transfer</w:t>
            </w:r>
          </w:p>
        </w:tc>
        <w:tc>
          <w:tcPr>
            <w:tcW w:w="3587" w:type="pct"/>
            <w:tcBorders>
              <w:left w:val="single" w:sz="4" w:space="0" w:color="FFC000"/>
            </w:tcBorders>
          </w:tcPr>
          <w:p w14:paraId="045457A6"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A transfer which is covered by Chapter V of the UK GDPR.</w:t>
            </w:r>
          </w:p>
        </w:tc>
      </w:tr>
      <w:tr w:rsidR="00A635BD" w:rsidRPr="006720BA" w14:paraId="33EC0515" w14:textId="77777777" w:rsidTr="00C131CD">
        <w:tc>
          <w:tcPr>
            <w:tcW w:w="1413" w:type="pct"/>
            <w:tcBorders>
              <w:right w:val="single" w:sz="4" w:space="0" w:color="FFC000"/>
            </w:tcBorders>
            <w:shd w:val="clear" w:color="auto" w:fill="FFF9DD"/>
          </w:tcPr>
          <w:p w14:paraId="1E2DAACE"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w:t>
            </w:r>
          </w:p>
        </w:tc>
        <w:tc>
          <w:tcPr>
            <w:tcW w:w="3587" w:type="pct"/>
            <w:tcBorders>
              <w:left w:val="single" w:sz="4" w:space="0" w:color="FFC000"/>
            </w:tcBorders>
          </w:tcPr>
          <w:p w14:paraId="58FE6EC3"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United Kingdom of Great Britain and Northern Ireland.</w:t>
            </w:r>
          </w:p>
        </w:tc>
      </w:tr>
      <w:tr w:rsidR="00A635BD" w:rsidRPr="006720BA" w14:paraId="71AC4D44" w14:textId="77777777" w:rsidTr="00C131CD">
        <w:tc>
          <w:tcPr>
            <w:tcW w:w="1413" w:type="pct"/>
            <w:tcBorders>
              <w:right w:val="single" w:sz="4" w:space="0" w:color="FFC000"/>
            </w:tcBorders>
            <w:shd w:val="clear" w:color="auto" w:fill="FFF9DD"/>
          </w:tcPr>
          <w:p w14:paraId="008BD318"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Data Protection Laws </w:t>
            </w:r>
          </w:p>
        </w:tc>
        <w:tc>
          <w:tcPr>
            <w:tcW w:w="3587" w:type="pct"/>
            <w:tcBorders>
              <w:left w:val="single" w:sz="4" w:space="0" w:color="FFC000"/>
            </w:tcBorders>
          </w:tcPr>
          <w:p w14:paraId="0F2DF8BE"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All laws relating to data protection, the processing of personal data, privacy and/or electronic communications in force from time to time in the UK, including the UK GDPR and the Data Protection Act 2018.</w:t>
            </w:r>
          </w:p>
        </w:tc>
      </w:tr>
      <w:tr w:rsidR="00A635BD" w:rsidRPr="006720BA" w14:paraId="3AAC07EC" w14:textId="77777777" w:rsidTr="00C131CD">
        <w:tc>
          <w:tcPr>
            <w:tcW w:w="1413" w:type="pct"/>
            <w:tcBorders>
              <w:bottom w:val="single" w:sz="18" w:space="0" w:color="FFC000"/>
              <w:right w:val="single" w:sz="4" w:space="0" w:color="FFC000"/>
            </w:tcBorders>
            <w:shd w:val="clear" w:color="auto" w:fill="FFF9DD"/>
          </w:tcPr>
          <w:p w14:paraId="7A1D108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GDPR </w:t>
            </w:r>
          </w:p>
        </w:tc>
        <w:tc>
          <w:tcPr>
            <w:tcW w:w="3587" w:type="pct"/>
            <w:tcBorders>
              <w:left w:val="single" w:sz="4" w:space="0" w:color="FFC000"/>
              <w:bottom w:val="single" w:sz="18" w:space="0" w:color="FFC000"/>
            </w:tcBorders>
          </w:tcPr>
          <w:p w14:paraId="481076D8"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As defined in section 3 of the Data Protection Act 2018.</w:t>
            </w:r>
          </w:p>
        </w:tc>
      </w:tr>
      <w:bookmarkEnd w:id="18"/>
    </w:tbl>
    <w:p w14:paraId="74B8BF33" w14:textId="77777777" w:rsidR="00A635BD" w:rsidRPr="006720BA" w:rsidRDefault="00A635BD" w:rsidP="00A635BD">
      <w:pPr>
        <w:spacing w:after="0"/>
        <w:ind w:left="360"/>
        <w:rPr>
          <w:rFonts w:ascii="Times New Roman" w:hAnsi="Times New Roman" w:cs="Times New Roman"/>
          <w:sz w:val="16"/>
          <w:szCs w:val="16"/>
        </w:rPr>
      </w:pPr>
    </w:p>
    <w:p w14:paraId="6E8BF8E4"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This Addendum must always be interpreted in a manner that is consistent with UK Data Protection Laws and so that it fulfils the Parties’ obligation to provide the Appropriate Safeguards. </w:t>
      </w:r>
    </w:p>
    <w:p w14:paraId="0AD83C4A"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248DA74B"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there is any inconsistency or conflict between UK Data Protection Laws and this Addendum, UK Data Protection Laws applies.</w:t>
      </w:r>
    </w:p>
    <w:p w14:paraId="6957BBDD"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If the meaning of this Addendum is unclear or there is more than one meaning, the meaning which most closely aligns with UK Data Protection Laws applies. </w:t>
      </w:r>
    </w:p>
    <w:p w14:paraId="65CF0265"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w:t>
      </w:r>
      <w:proofErr w:type="gramStart"/>
      <w:r w:rsidRPr="006720BA">
        <w:rPr>
          <w:rFonts w:ascii="Times New Roman" w:hAnsi="Times New Roman" w:cs="Times New Roman"/>
          <w:color w:val="auto"/>
          <w:sz w:val="16"/>
          <w:szCs w:val="16"/>
        </w:rPr>
        <w:t>entered into</w:t>
      </w:r>
      <w:proofErr w:type="gramEnd"/>
      <w:r w:rsidRPr="006720BA">
        <w:rPr>
          <w:rFonts w:ascii="Times New Roman" w:hAnsi="Times New Roman" w:cs="Times New Roman"/>
          <w:color w:val="auto"/>
          <w:sz w:val="16"/>
          <w:szCs w:val="16"/>
        </w:rPr>
        <w:t xml:space="preserve">. </w:t>
      </w:r>
    </w:p>
    <w:p w14:paraId="519BD939" w14:textId="77777777" w:rsidR="00A635BD" w:rsidRPr="006720BA" w:rsidRDefault="00A635BD" w:rsidP="00A635BD">
      <w:pPr>
        <w:pStyle w:val="Heading3"/>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Hierarchy </w:t>
      </w:r>
    </w:p>
    <w:p w14:paraId="62E93533" w14:textId="77777777" w:rsidR="00A635BD" w:rsidRPr="006720BA" w:rsidRDefault="00A635BD" w:rsidP="006C071E">
      <w:pPr>
        <w:pStyle w:val="NormalNumbered"/>
        <w:jc w:val="both"/>
        <w:rPr>
          <w:rFonts w:ascii="Times New Roman" w:hAnsi="Times New Roman" w:cs="Times New Roman"/>
          <w:color w:val="auto"/>
          <w:sz w:val="16"/>
          <w:szCs w:val="16"/>
        </w:rPr>
      </w:pPr>
      <w:bookmarkStart w:id="25" w:name="_Ref90905648"/>
      <w:r w:rsidRPr="006720BA">
        <w:rPr>
          <w:rFonts w:ascii="Times New Roman" w:hAnsi="Times New Roman" w:cs="Times New Roman"/>
          <w:color w:val="auto"/>
          <w:sz w:val="16"/>
          <w:szCs w:val="16"/>
        </w:rPr>
        <w:t xml:space="preserve">Although Clause 5 of the Approved EU SCCs sets out that the Approved EU SCCs prevail over all related agreements between the parties, the parties agree that, for Restricted Transfers, the hierarchy in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_Ref90905652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10</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will prevail.</w:t>
      </w:r>
      <w:bookmarkEnd w:id="25"/>
    </w:p>
    <w:p w14:paraId="27AAC909" w14:textId="77777777" w:rsidR="00A635BD" w:rsidRPr="006720BA" w:rsidRDefault="00A635BD" w:rsidP="006C071E">
      <w:pPr>
        <w:pStyle w:val="NormalNumbered"/>
        <w:jc w:val="both"/>
        <w:rPr>
          <w:rFonts w:ascii="Times New Roman" w:hAnsi="Times New Roman" w:cs="Times New Roman"/>
          <w:color w:val="auto"/>
          <w:sz w:val="16"/>
          <w:szCs w:val="16"/>
        </w:rPr>
      </w:pPr>
      <w:bookmarkStart w:id="26" w:name="_Ref90905652"/>
      <w:r w:rsidRPr="006720BA">
        <w:rPr>
          <w:rFonts w:ascii="Times New Roman" w:hAnsi="Times New Roman" w:cs="Times New Roman"/>
          <w:color w:val="auto"/>
          <w:sz w:val="16"/>
          <w:szCs w:val="16"/>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5DEF1A23" w14:textId="77777777" w:rsidR="00A635BD" w:rsidRPr="006720BA" w:rsidRDefault="00A635BD" w:rsidP="006C071E">
      <w:pPr>
        <w:pStyle w:val="NormalNumbered"/>
        <w:jc w:val="both"/>
        <w:rPr>
          <w:rFonts w:ascii="Times New Roman" w:hAnsi="Times New Roman" w:cs="Times New Roman"/>
          <w:color w:val="auto"/>
          <w:sz w:val="16"/>
          <w:szCs w:val="16"/>
        </w:rPr>
      </w:pPr>
      <w:bookmarkStart w:id="27" w:name="_Ref90906696"/>
      <w:r w:rsidRPr="006720BA">
        <w:rPr>
          <w:rFonts w:ascii="Times New Roman" w:hAnsi="Times New Roman" w:cs="Times New Roman"/>
          <w:color w:val="auto"/>
          <w:sz w:val="16"/>
          <w:szCs w:val="16"/>
        </w:rPr>
        <w:lastRenderedPageBreak/>
        <w:t>Where this Addendum incorporates Addendum EU SCCs which have been entered into to protect transfers subject to the General Data Protection Regulation (EU) 2016/679 then the Parties acknowledge that nothing in this Addendum impacts those Addendum EU SCCs.</w:t>
      </w:r>
      <w:bookmarkEnd w:id="26"/>
      <w:bookmarkEnd w:id="27"/>
    </w:p>
    <w:p w14:paraId="38CA8F93" w14:textId="77777777" w:rsidR="00A635BD" w:rsidRPr="006720BA" w:rsidRDefault="00A635BD" w:rsidP="006C071E">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Incorporation of and changes to the EU SCCs</w:t>
      </w:r>
    </w:p>
    <w:p w14:paraId="4DF2D298" w14:textId="77777777" w:rsidR="00A635BD" w:rsidRPr="006720BA" w:rsidRDefault="00A635BD" w:rsidP="006C071E">
      <w:pPr>
        <w:pStyle w:val="NormalNumbered"/>
        <w:jc w:val="both"/>
        <w:rPr>
          <w:rFonts w:ascii="Times New Roman" w:hAnsi="Times New Roman" w:cs="Times New Roman"/>
          <w:color w:val="auto"/>
          <w:sz w:val="16"/>
          <w:szCs w:val="16"/>
        </w:rPr>
      </w:pPr>
      <w:bookmarkStart w:id="28" w:name="_Ref90906729"/>
      <w:bookmarkStart w:id="29" w:name="_Hlk92876330"/>
      <w:r w:rsidRPr="006720BA">
        <w:rPr>
          <w:rFonts w:ascii="Times New Roman" w:hAnsi="Times New Roman" w:cs="Times New Roman"/>
          <w:color w:val="auto"/>
          <w:sz w:val="16"/>
          <w:szCs w:val="16"/>
        </w:rPr>
        <w:t>This Addendum incorporates the Addendum EU SCCs which are amended to the extent necessary so that:</w:t>
      </w:r>
      <w:bookmarkEnd w:id="28"/>
    </w:p>
    <w:p w14:paraId="7785E30A" w14:textId="77777777" w:rsidR="00A635BD" w:rsidRPr="006720BA" w:rsidRDefault="00A635BD" w:rsidP="006C071E">
      <w:pPr>
        <w:numPr>
          <w:ilvl w:val="1"/>
          <w:numId w:val="21"/>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w:t>
      </w:r>
      <w:proofErr w:type="gramStart"/>
      <w:r w:rsidRPr="006720BA">
        <w:rPr>
          <w:rFonts w:ascii="Times New Roman" w:hAnsi="Times New Roman" w:cs="Times New Roman"/>
          <w:sz w:val="16"/>
          <w:szCs w:val="16"/>
        </w:rPr>
        <w:t>transfers;</w:t>
      </w:r>
      <w:proofErr w:type="gramEnd"/>
      <w:r w:rsidRPr="006720BA">
        <w:rPr>
          <w:rFonts w:ascii="Times New Roman" w:hAnsi="Times New Roman" w:cs="Times New Roman"/>
          <w:sz w:val="16"/>
          <w:szCs w:val="16"/>
        </w:rPr>
        <w:t xml:space="preserve"> </w:t>
      </w:r>
    </w:p>
    <w:p w14:paraId="6663DDF5" w14:textId="77777777" w:rsidR="00A635BD" w:rsidRPr="006720BA" w:rsidRDefault="00A635BD" w:rsidP="006C071E">
      <w:pPr>
        <w:numPr>
          <w:ilvl w:val="1"/>
          <w:numId w:val="21"/>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 xml:space="preserve">Sections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_Ref90905648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9</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to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_Ref90906696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11</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override Clause 5 (Hierarchy) of the Addendum EU SCCs; and</w:t>
      </w:r>
    </w:p>
    <w:p w14:paraId="2046EC6D" w14:textId="77777777" w:rsidR="00A635BD" w:rsidRPr="006720BA" w:rsidRDefault="00A635BD" w:rsidP="006C071E">
      <w:pPr>
        <w:numPr>
          <w:ilvl w:val="1"/>
          <w:numId w:val="21"/>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5BE8E511" w14:textId="77777777" w:rsidR="00A635BD" w:rsidRPr="006720BA" w:rsidRDefault="00A635BD" w:rsidP="006C071E">
      <w:pPr>
        <w:pStyle w:val="NormalNumbered"/>
        <w:jc w:val="both"/>
        <w:rPr>
          <w:rFonts w:ascii="Times New Roman" w:hAnsi="Times New Roman" w:cs="Times New Roman"/>
          <w:color w:val="auto"/>
          <w:sz w:val="16"/>
          <w:szCs w:val="16"/>
        </w:rPr>
      </w:pPr>
      <w:bookmarkStart w:id="30" w:name="_Ref90907070"/>
      <w:bookmarkEnd w:id="29"/>
      <w:r w:rsidRPr="006720BA">
        <w:rPr>
          <w:rFonts w:ascii="Times New Roman" w:hAnsi="Times New Roman" w:cs="Times New Roman"/>
          <w:color w:val="auto"/>
          <w:sz w:val="16"/>
          <w:szCs w:val="16"/>
        </w:rPr>
        <w:t xml:space="preserve">Unless the Parties have agreed alternative amendments which meet the requirements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the provisions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_Ref90907321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15</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will apply.</w:t>
      </w:r>
    </w:p>
    <w:p w14:paraId="10A8A45B"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No amendments to the Approved EU SCCs other than to meet the requirements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may be made.</w:t>
      </w:r>
    </w:p>
    <w:p w14:paraId="30B5EF1B" w14:textId="77777777" w:rsidR="00A635BD" w:rsidRPr="006720BA" w:rsidRDefault="00A635BD" w:rsidP="006C071E">
      <w:pPr>
        <w:pStyle w:val="NormalNumbered"/>
        <w:jc w:val="both"/>
        <w:rPr>
          <w:rFonts w:ascii="Times New Roman" w:hAnsi="Times New Roman" w:cs="Times New Roman"/>
          <w:color w:val="auto"/>
          <w:sz w:val="16"/>
          <w:szCs w:val="16"/>
        </w:rPr>
      </w:pPr>
      <w:bookmarkStart w:id="31" w:name="_Ref90907321"/>
      <w:r w:rsidRPr="006720BA">
        <w:rPr>
          <w:rFonts w:ascii="Times New Roman" w:hAnsi="Times New Roman" w:cs="Times New Roman"/>
          <w:color w:val="auto"/>
          <w:sz w:val="16"/>
          <w:szCs w:val="16"/>
        </w:rPr>
        <w:t xml:space="preserve">The following amendments to the Addendum EU SCCs (for the purpose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are made:</w:t>
      </w:r>
      <w:bookmarkEnd w:id="30"/>
      <w:bookmarkEnd w:id="31"/>
      <w:r w:rsidRPr="006720BA">
        <w:rPr>
          <w:rFonts w:ascii="Times New Roman" w:hAnsi="Times New Roman" w:cs="Times New Roman"/>
          <w:color w:val="auto"/>
          <w:sz w:val="16"/>
          <w:szCs w:val="16"/>
        </w:rPr>
        <w:t xml:space="preserve"> </w:t>
      </w:r>
    </w:p>
    <w:p w14:paraId="4EA2B38D"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References to the “Clauses” means this Addendum, incorporating the Addendum EU </w:t>
      </w:r>
      <w:proofErr w:type="gramStart"/>
      <w:r w:rsidRPr="006720BA">
        <w:rPr>
          <w:rFonts w:ascii="Times New Roman" w:hAnsi="Times New Roman" w:cs="Times New Roman"/>
          <w:sz w:val="16"/>
          <w:szCs w:val="16"/>
        </w:rPr>
        <w:t>SCCs;</w:t>
      </w:r>
      <w:proofErr w:type="gramEnd"/>
    </w:p>
    <w:p w14:paraId="52CF12C5"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In Clause 2, delete the words:</w:t>
      </w:r>
    </w:p>
    <w:p w14:paraId="6D0FF4A4"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w:t>
      </w:r>
      <w:proofErr w:type="gramStart"/>
      <w:r w:rsidRPr="006720BA">
        <w:rPr>
          <w:rFonts w:ascii="Times New Roman" w:hAnsi="Times New Roman" w:cs="Times New Roman"/>
          <w:sz w:val="16"/>
          <w:szCs w:val="16"/>
        </w:rPr>
        <w:t>and</w:t>
      </w:r>
      <w:proofErr w:type="gramEnd"/>
      <w:r w:rsidRPr="006720BA">
        <w:rPr>
          <w:rFonts w:ascii="Times New Roman" w:hAnsi="Times New Roman" w:cs="Times New Roman"/>
          <w:sz w:val="16"/>
          <w:szCs w:val="16"/>
        </w:rPr>
        <w:t>, with respect to data transfers from controllers to processors and/or processors to processors, standard contractual clauses pursuant to Article 28(7) of Regulation (EU) 2016/679”;</w:t>
      </w:r>
    </w:p>
    <w:p w14:paraId="1829390F"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6 (Description of the transfer(s)) is replaced with:</w:t>
      </w:r>
    </w:p>
    <w:p w14:paraId="007EA322"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roofErr w:type="gramStart"/>
      <w:r w:rsidRPr="006720BA">
        <w:rPr>
          <w:rFonts w:ascii="Times New Roman" w:hAnsi="Times New Roman" w:cs="Times New Roman"/>
          <w:sz w:val="16"/>
          <w:szCs w:val="16"/>
        </w:rPr>
        <w:t>”;</w:t>
      </w:r>
      <w:proofErr w:type="gramEnd"/>
    </w:p>
    <w:p w14:paraId="1545090D"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8.7(i) of Module 1 is replaced with:</w:t>
      </w:r>
    </w:p>
    <w:p w14:paraId="1478E5F5"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w:t>
      </w:r>
      <w:proofErr w:type="gramStart"/>
      <w:r w:rsidRPr="006720BA">
        <w:rPr>
          <w:rFonts w:ascii="Times New Roman" w:hAnsi="Times New Roman" w:cs="Times New Roman"/>
          <w:sz w:val="16"/>
          <w:szCs w:val="16"/>
        </w:rPr>
        <w:t>it</w:t>
      </w:r>
      <w:proofErr w:type="gramEnd"/>
      <w:r w:rsidRPr="006720BA">
        <w:rPr>
          <w:rFonts w:ascii="Times New Roman" w:hAnsi="Times New Roman" w:cs="Times New Roman"/>
          <w:sz w:val="16"/>
          <w:szCs w:val="16"/>
        </w:rPr>
        <w:t xml:space="preserve"> is to a country benefitting from adequacy regulations pursuant to Section 17A of the UK GDPR that covers the onward transfer”;</w:t>
      </w:r>
    </w:p>
    <w:p w14:paraId="7D1AA9C0"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8.8(i) of Modules 2 and 3 is replaced with:</w:t>
      </w:r>
    </w:p>
    <w:p w14:paraId="02EF26B9"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w:t>
      </w:r>
      <w:proofErr w:type="gramStart"/>
      <w:r w:rsidRPr="006720BA">
        <w:rPr>
          <w:rFonts w:ascii="Times New Roman" w:hAnsi="Times New Roman" w:cs="Times New Roman"/>
          <w:sz w:val="16"/>
          <w:szCs w:val="16"/>
        </w:rPr>
        <w:t>the</w:t>
      </w:r>
      <w:proofErr w:type="gramEnd"/>
      <w:r w:rsidRPr="006720BA">
        <w:rPr>
          <w:rFonts w:ascii="Times New Roman" w:hAnsi="Times New Roman" w:cs="Times New Roman"/>
          <w:sz w:val="16"/>
          <w:szCs w:val="16"/>
        </w:rPr>
        <w:t xml:space="preserve"> onward transfer is to a country benefitting from adequacy regulations pursuant to Section 17A of the UK GDPR that covers the onward transfer;”</w:t>
      </w:r>
    </w:p>
    <w:p w14:paraId="2BAD3BBC"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References to “Regulation (EU) 2016/679”, “Regulation (EU) 2016/679 of the European Parliament and of the Council of 27 April 2016 on the protection of natural persons </w:t>
      </w:r>
      <w:proofErr w:type="gramStart"/>
      <w:r w:rsidRPr="006720BA">
        <w:rPr>
          <w:rFonts w:ascii="Times New Roman" w:hAnsi="Times New Roman" w:cs="Times New Roman"/>
          <w:sz w:val="16"/>
          <w:szCs w:val="16"/>
        </w:rPr>
        <w:t>with regard to</w:t>
      </w:r>
      <w:proofErr w:type="gramEnd"/>
      <w:r w:rsidRPr="006720BA">
        <w:rPr>
          <w:rFonts w:ascii="Times New Roman" w:hAnsi="Times New Roman" w:cs="Times New Roman"/>
          <w:sz w:val="16"/>
          <w:szCs w:val="16"/>
        </w:rPr>
        <w:t xml:space="preserve">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w:t>
      </w:r>
      <w:proofErr w:type="gramStart"/>
      <w:r w:rsidRPr="006720BA">
        <w:rPr>
          <w:rFonts w:ascii="Times New Roman" w:hAnsi="Times New Roman" w:cs="Times New Roman"/>
          <w:sz w:val="16"/>
          <w:szCs w:val="16"/>
        </w:rPr>
        <w:t>Laws;</w:t>
      </w:r>
      <w:proofErr w:type="gramEnd"/>
    </w:p>
    <w:p w14:paraId="2FD95B70"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References to Regulation (EU) 2018/1725 are </w:t>
      </w:r>
      <w:proofErr w:type="gramStart"/>
      <w:r w:rsidRPr="006720BA">
        <w:rPr>
          <w:rFonts w:ascii="Times New Roman" w:hAnsi="Times New Roman" w:cs="Times New Roman"/>
          <w:sz w:val="16"/>
          <w:szCs w:val="16"/>
        </w:rPr>
        <w:t>removed;</w:t>
      </w:r>
      <w:proofErr w:type="gramEnd"/>
    </w:p>
    <w:p w14:paraId="4095B4C0"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References to the “European Union”, “Union”, “EU”, “EU Member State”, “Member State” and “EU or Member State” are all replaced with the “UK</w:t>
      </w:r>
      <w:proofErr w:type="gramStart"/>
      <w:r w:rsidRPr="006720BA">
        <w:rPr>
          <w:rFonts w:ascii="Times New Roman" w:hAnsi="Times New Roman" w:cs="Times New Roman"/>
          <w:sz w:val="16"/>
          <w:szCs w:val="16"/>
        </w:rPr>
        <w:t>”;</w:t>
      </w:r>
      <w:proofErr w:type="gramEnd"/>
    </w:p>
    <w:p w14:paraId="4A43F427"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The reference to “Clause 12(c)(i)” at Clause 10(b)(i) of Module one, is replaced with “Clause 11(c)(i)</w:t>
      </w:r>
      <w:proofErr w:type="gramStart"/>
      <w:r w:rsidRPr="006720BA">
        <w:rPr>
          <w:rFonts w:ascii="Times New Roman" w:hAnsi="Times New Roman" w:cs="Times New Roman"/>
          <w:sz w:val="16"/>
          <w:szCs w:val="16"/>
        </w:rPr>
        <w:t>”;</w:t>
      </w:r>
      <w:proofErr w:type="gramEnd"/>
    </w:p>
    <w:p w14:paraId="2BFA642C"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Clause 13(a) and Part C of Annex I are not </w:t>
      </w:r>
      <w:proofErr w:type="gramStart"/>
      <w:r w:rsidRPr="006720BA">
        <w:rPr>
          <w:rFonts w:ascii="Times New Roman" w:hAnsi="Times New Roman" w:cs="Times New Roman"/>
          <w:sz w:val="16"/>
          <w:szCs w:val="16"/>
        </w:rPr>
        <w:t>used;</w:t>
      </w:r>
      <w:proofErr w:type="gramEnd"/>
      <w:r w:rsidRPr="006720BA">
        <w:rPr>
          <w:rFonts w:ascii="Times New Roman" w:hAnsi="Times New Roman" w:cs="Times New Roman"/>
          <w:sz w:val="16"/>
          <w:szCs w:val="16"/>
        </w:rPr>
        <w:t xml:space="preserve"> </w:t>
      </w:r>
    </w:p>
    <w:p w14:paraId="3FE1A3F5"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The “competent supervisory authority” and “supervisory authority” are both replaced with the “Information Commissioner</w:t>
      </w:r>
      <w:proofErr w:type="gramStart"/>
      <w:r w:rsidRPr="006720BA">
        <w:rPr>
          <w:rFonts w:ascii="Times New Roman" w:hAnsi="Times New Roman" w:cs="Times New Roman"/>
          <w:sz w:val="16"/>
          <w:szCs w:val="16"/>
        </w:rPr>
        <w:t>”;</w:t>
      </w:r>
      <w:proofErr w:type="gramEnd"/>
    </w:p>
    <w:p w14:paraId="4E5BBBC7"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In Clause 16(e), subsection (i) is replaced with:</w:t>
      </w:r>
    </w:p>
    <w:p w14:paraId="303FAFF7" w14:textId="77777777" w:rsidR="00A635BD" w:rsidRPr="006720BA" w:rsidRDefault="00A635BD" w:rsidP="006C071E">
      <w:pPr>
        <w:spacing w:line="274" w:lineRule="auto"/>
        <w:ind w:left="1440"/>
        <w:jc w:val="both"/>
        <w:rPr>
          <w:rFonts w:ascii="Times New Roman" w:hAnsi="Times New Roman" w:cs="Times New Roman"/>
          <w:sz w:val="16"/>
          <w:szCs w:val="16"/>
        </w:rPr>
      </w:pPr>
      <w:r w:rsidRPr="006720BA">
        <w:rPr>
          <w:rFonts w:ascii="Times New Roman" w:hAnsi="Times New Roman" w:cs="Times New Roman"/>
          <w:sz w:val="16"/>
          <w:szCs w:val="16"/>
        </w:rPr>
        <w:lastRenderedPageBreak/>
        <w:t>“</w:t>
      </w:r>
      <w:proofErr w:type="gramStart"/>
      <w:r w:rsidRPr="006720BA">
        <w:rPr>
          <w:rFonts w:ascii="Times New Roman" w:hAnsi="Times New Roman" w:cs="Times New Roman"/>
          <w:sz w:val="16"/>
          <w:szCs w:val="16"/>
        </w:rPr>
        <w:t>the</w:t>
      </w:r>
      <w:proofErr w:type="gramEnd"/>
      <w:r w:rsidRPr="006720BA">
        <w:rPr>
          <w:rFonts w:ascii="Times New Roman" w:hAnsi="Times New Roman" w:cs="Times New Roman"/>
          <w:sz w:val="16"/>
          <w:szCs w:val="16"/>
        </w:rPr>
        <w:t xml:space="preserve"> Secretary of State makes regulations pursuant to Section 17A of the Data Protection Act 2018 that cover the transfer of personal data to which these clauses apply;”;</w:t>
      </w:r>
    </w:p>
    <w:p w14:paraId="164E5513" w14:textId="77777777" w:rsidR="00A635BD" w:rsidRPr="006720BA" w:rsidRDefault="00A635BD" w:rsidP="006C071E">
      <w:pPr>
        <w:numPr>
          <w:ilvl w:val="0"/>
          <w:numId w:val="23"/>
        </w:numPr>
        <w:spacing w:after="200" w:line="274"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17 is replaced with:</w:t>
      </w:r>
    </w:p>
    <w:p w14:paraId="5622722C" w14:textId="77777777" w:rsidR="00A635BD" w:rsidRPr="006720BA" w:rsidRDefault="00A635BD" w:rsidP="006C071E">
      <w:pPr>
        <w:spacing w:line="274" w:lineRule="auto"/>
        <w:ind w:left="1440"/>
        <w:jc w:val="both"/>
        <w:rPr>
          <w:rFonts w:ascii="Times New Roman" w:hAnsi="Times New Roman" w:cs="Times New Roman"/>
          <w:sz w:val="16"/>
          <w:szCs w:val="16"/>
        </w:rPr>
      </w:pPr>
      <w:r w:rsidRPr="006720BA">
        <w:rPr>
          <w:rFonts w:ascii="Times New Roman" w:hAnsi="Times New Roman" w:cs="Times New Roman"/>
          <w:sz w:val="16"/>
          <w:szCs w:val="16"/>
        </w:rPr>
        <w:t>“These Clauses are governed by the laws of England and Wales.</w:t>
      </w:r>
      <w:proofErr w:type="gramStart"/>
      <w:r w:rsidRPr="006720BA">
        <w:rPr>
          <w:rFonts w:ascii="Times New Roman" w:hAnsi="Times New Roman" w:cs="Times New Roman"/>
          <w:sz w:val="16"/>
          <w:szCs w:val="16"/>
        </w:rPr>
        <w:t>”;</w:t>
      </w:r>
      <w:proofErr w:type="gramEnd"/>
    </w:p>
    <w:p w14:paraId="0282EBA3"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18 is replaced with:</w:t>
      </w:r>
    </w:p>
    <w:p w14:paraId="73968409" w14:textId="77777777" w:rsidR="00A635BD" w:rsidRPr="006720BA" w:rsidRDefault="00A635BD" w:rsidP="006C071E">
      <w:pPr>
        <w:ind w:left="1440"/>
        <w:jc w:val="both"/>
        <w:rPr>
          <w:rFonts w:ascii="Times New Roman" w:hAnsi="Times New Roman" w:cs="Times New Roman"/>
          <w:sz w:val="16"/>
          <w:szCs w:val="16"/>
        </w:rPr>
      </w:pPr>
      <w:bookmarkStart w:id="32" w:name="_Hlk92820147"/>
      <w:r w:rsidRPr="006720BA">
        <w:rPr>
          <w:rFonts w:ascii="Times New Roman" w:hAnsi="Times New Roman" w:cs="Times New Roman"/>
          <w:sz w:val="16"/>
          <w:szCs w:val="16"/>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bookmarkEnd w:id="32"/>
    <w:p w14:paraId="70543379"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The footnotes to the Approved EU SCCs do not form part of the Addendum, except for footnotes 8, 9, 10 and 11. </w:t>
      </w:r>
    </w:p>
    <w:p w14:paraId="69479095" w14:textId="77777777" w:rsidR="00A635BD" w:rsidRPr="006720BA" w:rsidRDefault="00A635BD" w:rsidP="006C071E">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Amendments to this Addendum </w:t>
      </w:r>
    </w:p>
    <w:p w14:paraId="7982860F" w14:textId="77777777" w:rsidR="00A635BD" w:rsidRPr="006720BA" w:rsidRDefault="00A635BD" w:rsidP="006C071E">
      <w:pPr>
        <w:pStyle w:val="NormalNumbered"/>
        <w:jc w:val="both"/>
        <w:rPr>
          <w:rFonts w:ascii="Times New Roman" w:hAnsi="Times New Roman" w:cs="Times New Roman"/>
          <w:color w:val="auto"/>
          <w:sz w:val="16"/>
          <w:szCs w:val="16"/>
        </w:rPr>
      </w:pPr>
      <w:bookmarkStart w:id="33" w:name="_Ref90906380"/>
      <w:r w:rsidRPr="006720BA">
        <w:rPr>
          <w:rFonts w:ascii="Times New Roman" w:hAnsi="Times New Roman" w:cs="Times New Roman"/>
          <w:color w:val="auto"/>
          <w:sz w:val="16"/>
          <w:szCs w:val="16"/>
        </w:rPr>
        <w:t>The Parties may agree to change Clauses 17 and/or 18 of the Addendum EU SCCs to refer to the laws and/or courts of Scotland or Northern Ireland.</w:t>
      </w:r>
      <w:bookmarkEnd w:id="33"/>
    </w:p>
    <w:p w14:paraId="1F5DD6CD"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 Parties wish to change the format of the information included in Part 1: Tables of the Approved Addendum, they may do so by agreeing to the change in writing, provided that the change does not reduce the Appropriate Safeguards.</w:t>
      </w:r>
    </w:p>
    <w:p w14:paraId="6E0638EE" w14:textId="77777777" w:rsidR="00A635BD" w:rsidRPr="006720BA" w:rsidRDefault="00A635BD" w:rsidP="006C071E">
      <w:pPr>
        <w:pStyle w:val="NormalNumbered"/>
        <w:jc w:val="both"/>
        <w:rPr>
          <w:rFonts w:ascii="Times New Roman" w:hAnsi="Times New Roman" w:cs="Times New Roman"/>
          <w:color w:val="auto"/>
          <w:sz w:val="16"/>
          <w:szCs w:val="16"/>
        </w:rPr>
      </w:pPr>
      <w:bookmarkStart w:id="34" w:name="_Ref90907400"/>
      <w:r w:rsidRPr="006720BA">
        <w:rPr>
          <w:rFonts w:ascii="Times New Roman" w:hAnsi="Times New Roman" w:cs="Times New Roman"/>
          <w:color w:val="auto"/>
          <w:sz w:val="16"/>
          <w:szCs w:val="16"/>
        </w:rPr>
        <w:t>From time to time, the ICO may issue a revised Approved Addendum which:</w:t>
      </w:r>
      <w:bookmarkEnd w:id="34"/>
      <w:r w:rsidRPr="006720BA">
        <w:rPr>
          <w:rFonts w:ascii="Times New Roman" w:hAnsi="Times New Roman" w:cs="Times New Roman"/>
          <w:color w:val="auto"/>
          <w:sz w:val="16"/>
          <w:szCs w:val="16"/>
        </w:rPr>
        <w:t xml:space="preserve"> </w:t>
      </w:r>
    </w:p>
    <w:p w14:paraId="7FC30715" w14:textId="77777777" w:rsidR="00A635BD" w:rsidRPr="006720BA" w:rsidRDefault="00A635BD" w:rsidP="006C071E">
      <w:pPr>
        <w:pStyle w:val="ListParagraph"/>
        <w:numPr>
          <w:ilvl w:val="0"/>
          <w:numId w:val="24"/>
        </w:numPr>
        <w:spacing w:after="366" w:line="276" w:lineRule="auto"/>
        <w:ind w:left="1077" w:hanging="357"/>
        <w:jc w:val="both"/>
        <w:rPr>
          <w:rFonts w:ascii="Times New Roman" w:hAnsi="Times New Roman"/>
          <w:sz w:val="16"/>
          <w:szCs w:val="16"/>
        </w:rPr>
      </w:pPr>
      <w:r w:rsidRPr="006720BA">
        <w:rPr>
          <w:rFonts w:ascii="Times New Roman" w:hAnsi="Times New Roman"/>
          <w:sz w:val="16"/>
          <w:szCs w:val="16"/>
        </w:rPr>
        <w:t>makes reasonable and proportionate changes to the Approved Addendum, including correcting errors in the Approved Addendum; and/or</w:t>
      </w:r>
    </w:p>
    <w:p w14:paraId="77F39DF2" w14:textId="77777777" w:rsidR="00A635BD" w:rsidRPr="006720BA" w:rsidRDefault="00A635BD" w:rsidP="006C071E">
      <w:pPr>
        <w:pStyle w:val="ListParagraph"/>
        <w:numPr>
          <w:ilvl w:val="0"/>
          <w:numId w:val="24"/>
        </w:numPr>
        <w:spacing w:after="200" w:line="276" w:lineRule="auto"/>
        <w:ind w:left="1077" w:hanging="357"/>
        <w:jc w:val="both"/>
        <w:rPr>
          <w:rFonts w:ascii="Times New Roman" w:hAnsi="Times New Roman"/>
          <w:sz w:val="16"/>
          <w:szCs w:val="16"/>
        </w:rPr>
      </w:pPr>
      <w:r w:rsidRPr="006720BA">
        <w:rPr>
          <w:rFonts w:ascii="Times New Roman" w:hAnsi="Times New Roman"/>
          <w:sz w:val="16"/>
          <w:szCs w:val="16"/>
        </w:rPr>
        <w:t xml:space="preserve">reflects changes to UK Data Protection </w:t>
      </w:r>
      <w:proofErr w:type="gramStart"/>
      <w:r w:rsidRPr="006720BA">
        <w:rPr>
          <w:rFonts w:ascii="Times New Roman" w:hAnsi="Times New Roman"/>
          <w:sz w:val="16"/>
          <w:szCs w:val="16"/>
        </w:rPr>
        <w:t>Laws;</w:t>
      </w:r>
      <w:proofErr w:type="gramEnd"/>
    </w:p>
    <w:p w14:paraId="57FF4DB7" w14:textId="77777777" w:rsidR="00A635BD" w:rsidRPr="006720BA" w:rsidRDefault="00A635BD" w:rsidP="006C071E">
      <w:pPr>
        <w:pStyle w:val="NormalNumbered"/>
        <w:numPr>
          <w:ilvl w:val="0"/>
          <w:numId w:val="0"/>
        </w:numPr>
        <w:ind w:left="454"/>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7855489C" w14:textId="77777777" w:rsidR="00A635BD" w:rsidRPr="006720BA" w:rsidRDefault="00A635BD" w:rsidP="006C071E">
      <w:pPr>
        <w:pStyle w:val="NormalNumbered"/>
        <w:jc w:val="both"/>
        <w:rPr>
          <w:rFonts w:ascii="Times New Roman" w:hAnsi="Times New Roman" w:cs="Times New Roman"/>
          <w:color w:val="auto"/>
          <w:sz w:val="16"/>
          <w:szCs w:val="16"/>
        </w:rPr>
      </w:pPr>
      <w:bookmarkStart w:id="35" w:name="_Ref93329888"/>
      <w:bookmarkStart w:id="36" w:name="_Ref92725699"/>
      <w:r w:rsidRPr="006720BA">
        <w:rPr>
          <w:rFonts w:ascii="Times New Roman" w:hAnsi="Times New Roman" w:cs="Times New Roman"/>
          <w:color w:val="auto"/>
          <w:sz w:val="16"/>
          <w:szCs w:val="16"/>
        </w:rPr>
        <w:t xml:space="preserve">If the ICO issues a revised Approved Addendum under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_Ref90907400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Pr="006720BA">
        <w:rPr>
          <w:rFonts w:ascii="Times New Roman" w:hAnsi="Times New Roman" w:cs="Times New Roman"/>
          <w:color w:val="auto"/>
          <w:sz w:val="16"/>
          <w:szCs w:val="16"/>
          <w:cs/>
        </w:rPr>
        <w:t>‎</w:t>
      </w:r>
      <w:r w:rsidRPr="006720BA">
        <w:rPr>
          <w:rFonts w:ascii="Times New Roman" w:hAnsi="Times New Roman" w:cs="Times New Roman"/>
          <w:color w:val="auto"/>
          <w:sz w:val="16"/>
          <w:szCs w:val="16"/>
        </w:rPr>
        <w:t>18</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if any Party selected in Table 4 “Ending the Addendum when the Approved Addendum changes”, will as a direct result of the changes in the Approved Addendum have a substantial, </w:t>
      </w:r>
      <w:proofErr w:type="gramStart"/>
      <w:r w:rsidRPr="006720BA">
        <w:rPr>
          <w:rFonts w:ascii="Times New Roman" w:hAnsi="Times New Roman" w:cs="Times New Roman"/>
          <w:color w:val="auto"/>
          <w:sz w:val="16"/>
          <w:szCs w:val="16"/>
        </w:rPr>
        <w:t>disproportionate</w:t>
      </w:r>
      <w:proofErr w:type="gramEnd"/>
      <w:r w:rsidRPr="006720BA">
        <w:rPr>
          <w:rFonts w:ascii="Times New Roman" w:hAnsi="Times New Roman" w:cs="Times New Roman"/>
          <w:color w:val="auto"/>
          <w:sz w:val="16"/>
          <w:szCs w:val="16"/>
        </w:rPr>
        <w:t xml:space="preserve"> and demonstrable increase in:</w:t>
      </w:r>
      <w:bookmarkEnd w:id="35"/>
      <w:r w:rsidRPr="006720BA">
        <w:rPr>
          <w:rFonts w:ascii="Times New Roman" w:hAnsi="Times New Roman" w:cs="Times New Roman"/>
          <w:color w:val="auto"/>
          <w:sz w:val="16"/>
          <w:szCs w:val="16"/>
        </w:rPr>
        <w:t xml:space="preserve"> </w:t>
      </w:r>
    </w:p>
    <w:p w14:paraId="7ACF6E6C" w14:textId="77777777" w:rsidR="00A635BD" w:rsidRPr="006720BA" w:rsidRDefault="00A635BD" w:rsidP="006C071E">
      <w:pPr>
        <w:pStyle w:val="NormalNumbered"/>
        <w:numPr>
          <w:ilvl w:val="1"/>
          <w:numId w:val="25"/>
        </w:numPr>
        <w:ind w:hanging="360"/>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its direct costs of performing its obligations under the Addendum; and/or </w:t>
      </w:r>
    </w:p>
    <w:p w14:paraId="02CC18DA" w14:textId="77777777" w:rsidR="00A635BD" w:rsidRPr="006720BA" w:rsidRDefault="00A635BD" w:rsidP="006C071E">
      <w:pPr>
        <w:pStyle w:val="NormalNumbered"/>
        <w:numPr>
          <w:ilvl w:val="1"/>
          <w:numId w:val="25"/>
        </w:numPr>
        <w:ind w:hanging="360"/>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its risk under the Addendum, </w:t>
      </w:r>
    </w:p>
    <w:p w14:paraId="6AE22129" w14:textId="77777777" w:rsidR="00A635BD" w:rsidRPr="006720BA" w:rsidRDefault="00A635BD" w:rsidP="006C071E">
      <w:pPr>
        <w:pStyle w:val="NormalNumbered"/>
        <w:numPr>
          <w:ilvl w:val="0"/>
          <w:numId w:val="0"/>
        </w:numPr>
        <w:ind w:left="454"/>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36"/>
    </w:p>
    <w:p w14:paraId="001F040F" w14:textId="77777777" w:rsidR="00A635BD" w:rsidRPr="006720BA" w:rsidRDefault="00A635BD" w:rsidP="006C071E">
      <w:pPr>
        <w:pStyle w:val="NormalNumbered"/>
        <w:jc w:val="both"/>
        <w:rPr>
          <w:rFonts w:ascii="Times New Roman" w:hAnsi="Times New Roman" w:cs="Times New Roman"/>
          <w:color w:val="auto"/>
          <w:sz w:val="16"/>
          <w:szCs w:val="16"/>
        </w:rPr>
      </w:pPr>
      <w:bookmarkStart w:id="37" w:name="_Ref90906389"/>
      <w:r w:rsidRPr="006720BA">
        <w:rPr>
          <w:rFonts w:ascii="Times New Roman" w:hAnsi="Times New Roman" w:cs="Times New Roman"/>
          <w:color w:val="auto"/>
          <w:sz w:val="16"/>
          <w:szCs w:val="16"/>
        </w:rPr>
        <w:t>The Parties do not need the consent of any third party to make changes to this Addendum, but any changes must be made in accordance with its terms.</w:t>
      </w:r>
      <w:bookmarkEnd w:id="37"/>
    </w:p>
    <w:p w14:paraId="40EB55B1" w14:textId="77777777" w:rsidR="00A635BD" w:rsidRPr="006720BA" w:rsidRDefault="00A635BD" w:rsidP="006C071E">
      <w:pPr>
        <w:pStyle w:val="Heading2"/>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79"/>
        <w:gridCol w:w="7087"/>
      </w:tblGrid>
      <w:tr w:rsidR="00A635BD" w:rsidRPr="006720BA" w14:paraId="001E3EC4" w14:textId="77777777" w:rsidTr="00C131CD">
        <w:tc>
          <w:tcPr>
            <w:tcW w:w="1176" w:type="pct"/>
            <w:tcBorders>
              <w:bottom w:val="single" w:sz="18" w:space="0" w:color="FFC000"/>
            </w:tcBorders>
            <w:shd w:val="clear" w:color="auto" w:fill="FFF9DD"/>
          </w:tcPr>
          <w:p w14:paraId="1F434185"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Mandatory Clauses</w:t>
            </w:r>
          </w:p>
        </w:tc>
        <w:tc>
          <w:tcPr>
            <w:tcW w:w="3824" w:type="pct"/>
            <w:tcBorders>
              <w:bottom w:val="single" w:sz="18" w:space="0" w:color="FFC000"/>
            </w:tcBorders>
            <w:shd w:val="clear" w:color="auto" w:fill="auto"/>
          </w:tcPr>
          <w:p w14:paraId="7235417D"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 xml:space="preserve">Part 2: Mandatory Clauses of the Approved Addendum, being the template Addendum B.1.0 issued by the ICO and laid before Parliament in accordance with s119A of the Data Protection Act 2018 on 2 February 2022, as it is revised under Section </w:t>
            </w:r>
            <w:r w:rsidRPr="006720BA">
              <w:rPr>
                <w:rFonts w:ascii="Times New Roman" w:hAnsi="Times New Roman" w:cs="Times New Roman"/>
                <w:sz w:val="16"/>
                <w:szCs w:val="16"/>
                <w:cs/>
              </w:rPr>
              <w:t>‎</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_Ref90907400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Pr="006720BA">
              <w:rPr>
                <w:rFonts w:ascii="Times New Roman" w:hAnsi="Times New Roman" w:cs="Times New Roman"/>
                <w:sz w:val="16"/>
                <w:szCs w:val="16"/>
                <w:cs/>
              </w:rPr>
              <w:t>‎</w:t>
            </w:r>
            <w:r w:rsidRPr="006720BA">
              <w:rPr>
                <w:rFonts w:ascii="Times New Roman" w:hAnsi="Times New Roman" w:cs="Times New Roman"/>
                <w:sz w:val="16"/>
                <w:szCs w:val="16"/>
              </w:rPr>
              <w:t>18</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of those Mandatory Clauses.</w:t>
            </w:r>
          </w:p>
        </w:tc>
      </w:tr>
      <w:bookmarkEnd w:id="16"/>
      <w:bookmarkEnd w:id="24"/>
    </w:tbl>
    <w:p w14:paraId="40F1E017" w14:textId="77777777" w:rsidR="00E95738" w:rsidRDefault="00E95738"/>
    <w:sectPr w:rsidR="00E95738" w:rsidSect="008758AF">
      <w:type w:val="continuous"/>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9BA7" w14:textId="77777777" w:rsidR="008B056F" w:rsidRDefault="008B056F">
      <w:pPr>
        <w:spacing w:after="0" w:line="240" w:lineRule="auto"/>
      </w:pPr>
      <w:r>
        <w:separator/>
      </w:r>
    </w:p>
  </w:endnote>
  <w:endnote w:type="continuationSeparator" w:id="0">
    <w:p w14:paraId="56468B4B" w14:textId="77777777" w:rsidR="008B056F" w:rsidRDefault="008B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6211" w14:textId="77777777" w:rsidR="000B7A1B" w:rsidRDefault="000B7A1B">
    <w:pPr>
      <w:ind w:right="19"/>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D7E0" w14:textId="77777777" w:rsidR="000B7A1B" w:rsidRPr="00472A8E" w:rsidRDefault="000B7A1B">
    <w:pPr>
      <w:ind w:right="19"/>
      <w:jc w:val="right"/>
      <w:rPr>
        <w:rFonts w:ascii="Times New Roman" w:hAnsi="Times New Roman"/>
      </w:rPr>
    </w:pPr>
    <w:r w:rsidRPr="00472A8E">
      <w:rPr>
        <w:rFonts w:ascii="Times New Roman" w:hAnsi="Times New Roman"/>
      </w:rPr>
      <w:fldChar w:fldCharType="begin"/>
    </w:r>
    <w:r w:rsidRPr="00472A8E">
      <w:rPr>
        <w:rFonts w:ascii="Times New Roman" w:hAnsi="Times New Roman"/>
      </w:rPr>
      <w:instrText xml:space="preserve"> PAGE   \* MERGEFORMAT </w:instrText>
    </w:r>
    <w:r w:rsidRPr="00472A8E">
      <w:rPr>
        <w:rFonts w:ascii="Times New Roman" w:hAnsi="Times New Roman"/>
      </w:rPr>
      <w:fldChar w:fldCharType="separate"/>
    </w:r>
    <w:r w:rsidRPr="00472A8E">
      <w:rPr>
        <w:rFonts w:ascii="Times New Roman" w:hAnsi="Times New Roman"/>
        <w:noProof/>
      </w:rPr>
      <w:t>1</w:t>
    </w:r>
    <w:r w:rsidRPr="00472A8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F586" w14:textId="77777777" w:rsidR="000B7A1B" w:rsidRDefault="000B7A1B">
    <w:pPr>
      <w:ind w:right="19"/>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5A97" w14:textId="77777777" w:rsidR="008B056F" w:rsidRDefault="008B056F">
      <w:pPr>
        <w:spacing w:after="0" w:line="240" w:lineRule="auto"/>
      </w:pPr>
      <w:r>
        <w:separator/>
      </w:r>
    </w:p>
  </w:footnote>
  <w:footnote w:type="continuationSeparator" w:id="0">
    <w:p w14:paraId="314EEE62" w14:textId="77777777" w:rsidR="008B056F" w:rsidRDefault="008B0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DD8491F8"/>
    <w:styleLink w:val="NumberingSchedules"/>
    <w:lvl w:ilvl="0">
      <w:start w:val="1"/>
      <w:numFmt w:val="decimal"/>
      <w:pStyle w:val="BBScheduleHeading1"/>
      <w:lvlText w:val="%1."/>
      <w:lvlJc w:val="left"/>
      <w:pPr>
        <w:tabs>
          <w:tab w:val="num" w:pos="992"/>
        </w:tabs>
        <w:ind w:left="992" w:hanging="992"/>
      </w:pPr>
      <w:rPr>
        <w:rFonts w:hint="default"/>
      </w:rPr>
    </w:lvl>
    <w:lvl w:ilvl="1">
      <w:start w:val="1"/>
      <w:numFmt w:val="decimal"/>
      <w:pStyle w:val="BBSchedule2"/>
      <w:lvlText w:val="%1.%2"/>
      <w:lvlJc w:val="left"/>
      <w:pPr>
        <w:tabs>
          <w:tab w:val="num" w:pos="992"/>
        </w:tabs>
        <w:ind w:left="992" w:hanging="992"/>
      </w:pPr>
      <w:rPr>
        <w:rFonts w:hint="default"/>
      </w:rPr>
    </w:lvl>
    <w:lvl w:ilvl="2">
      <w:start w:val="1"/>
      <w:numFmt w:val="lowerLetter"/>
      <w:pStyle w:val="BBSchedule3"/>
      <w:lvlText w:val="(%3)"/>
      <w:lvlJc w:val="left"/>
      <w:pPr>
        <w:tabs>
          <w:tab w:val="num" w:pos="992"/>
        </w:tabs>
        <w:ind w:left="992" w:hanging="992"/>
      </w:pPr>
      <w:rPr>
        <w:rFonts w:hint="default"/>
      </w:rPr>
    </w:lvl>
    <w:lvl w:ilvl="3">
      <w:start w:val="1"/>
      <w:numFmt w:val="lowerRoman"/>
      <w:pStyle w:val="BBSchedule4"/>
      <w:lvlText w:val="(%4)"/>
      <w:lvlJc w:val="left"/>
      <w:pPr>
        <w:tabs>
          <w:tab w:val="num" w:pos="992"/>
        </w:tabs>
        <w:ind w:left="992" w:hanging="992"/>
      </w:pPr>
      <w:rPr>
        <w:rFonts w:hint="default"/>
      </w:rPr>
    </w:lvl>
    <w:lvl w:ilvl="4">
      <w:start w:val="1"/>
      <w:numFmt w:val="upperLetter"/>
      <w:pStyle w:val="BBSchedule5"/>
      <w:lvlText w:val="(%5)"/>
      <w:lvlJc w:val="left"/>
      <w:pPr>
        <w:tabs>
          <w:tab w:val="num" w:pos="1701"/>
        </w:tabs>
        <w:ind w:left="1701" w:hanging="709"/>
      </w:pPr>
      <w:rPr>
        <w:rFonts w:hint="default"/>
      </w:rPr>
    </w:lvl>
    <w:lvl w:ilvl="5">
      <w:start w:val="1"/>
      <w:numFmt w:val="upperRoman"/>
      <w:pStyle w:val="BBSchedule6"/>
      <w:lvlText w:val="(%6)"/>
      <w:lvlJc w:val="left"/>
      <w:pPr>
        <w:tabs>
          <w:tab w:val="num" w:pos="1701"/>
        </w:tabs>
        <w:ind w:left="1701" w:hanging="709"/>
      </w:pPr>
      <w:rPr>
        <w:rFonts w:hint="default"/>
      </w:rPr>
    </w:lvl>
    <w:lvl w:ilvl="6">
      <w:start w:val="1"/>
      <w:numFmt w:val="upperLetter"/>
      <w:pStyle w:val="BBSchedule7"/>
      <w:lvlText w:val="(%7)"/>
      <w:lvlJc w:val="left"/>
      <w:pPr>
        <w:tabs>
          <w:tab w:val="num" w:pos="1701"/>
        </w:tabs>
        <w:ind w:left="1701" w:hanging="709"/>
      </w:pPr>
      <w:rPr>
        <w:rFonts w:hint="default"/>
      </w:rPr>
    </w:lvl>
    <w:lvl w:ilvl="7">
      <w:start w:val="1"/>
      <w:numFmt w:val="upperRoman"/>
      <w:pStyle w:val="BBSchedule8"/>
      <w:lvlText w:val="(%8)"/>
      <w:lvlJc w:val="left"/>
      <w:pPr>
        <w:tabs>
          <w:tab w:val="num" w:pos="1701"/>
        </w:tabs>
        <w:ind w:left="1701" w:hanging="709"/>
      </w:pPr>
      <w:rPr>
        <w:rFonts w:hint="default"/>
      </w:rPr>
    </w:lvl>
    <w:lvl w:ilvl="8">
      <w:start w:val="1"/>
      <w:numFmt w:val="lowerRoman"/>
      <w:pStyle w:val="BBSchedule9"/>
      <w:lvlText w:val="%9."/>
      <w:lvlJc w:val="left"/>
      <w:pPr>
        <w:tabs>
          <w:tab w:val="num" w:pos="1701"/>
        </w:tabs>
        <w:ind w:left="1701" w:hanging="709"/>
      </w:pPr>
      <w:rPr>
        <w:rFonts w:hint="default"/>
      </w:rPr>
    </w:lvl>
  </w:abstractNum>
  <w:abstractNum w:abstractNumId="1" w15:restartNumberingAfterBreak="0">
    <w:nsid w:val="0AF512A6"/>
    <w:multiLevelType w:val="hybridMultilevel"/>
    <w:tmpl w:val="509C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423"/>
    <w:multiLevelType w:val="hybridMultilevel"/>
    <w:tmpl w:val="F020BAEC"/>
    <w:lvl w:ilvl="0" w:tplc="2730D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2443"/>
    <w:multiLevelType w:val="hybridMultilevel"/>
    <w:tmpl w:val="9BF81EEE"/>
    <w:lvl w:ilvl="0" w:tplc="624672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761DD"/>
    <w:multiLevelType w:val="multilevel"/>
    <w:tmpl w:val="DD8491F8"/>
    <w:numStyleLink w:val="NumberingSchedules"/>
  </w:abstractNum>
  <w:abstractNum w:abstractNumId="5" w15:restartNumberingAfterBreak="0">
    <w:nsid w:val="2C556BD5"/>
    <w:multiLevelType w:val="hybridMultilevel"/>
    <w:tmpl w:val="7DCC7952"/>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75E050E">
      <w:start w:val="1"/>
      <w:numFmt w:val="lowerLetter"/>
      <w:lvlText w:val="%2."/>
      <w:lvlJc w:val="left"/>
      <w:pPr>
        <w:ind w:left="1080"/>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6B5EA9"/>
    <w:multiLevelType w:val="multilevel"/>
    <w:tmpl w:val="6B7E49B2"/>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992"/>
        </w:tabs>
        <w:ind w:left="992" w:hanging="992"/>
      </w:pPr>
      <w:rPr>
        <w:rFonts w:ascii="Symbol" w:hAnsi="Symbol" w:hint="default"/>
      </w:rPr>
    </w:lvl>
    <w:lvl w:ilvl="2">
      <w:start w:val="1"/>
      <w:numFmt w:val="bullet"/>
      <w:pStyle w:val="BBBullet2"/>
      <w:lvlText w:val=""/>
      <w:lvlJc w:val="left"/>
      <w:pPr>
        <w:tabs>
          <w:tab w:val="num" w:pos="992"/>
        </w:tabs>
        <w:ind w:left="992" w:hanging="992"/>
      </w:pPr>
      <w:rPr>
        <w:rFonts w:ascii="Symbol" w:hAnsi="Symbol" w:hint="default"/>
      </w:rPr>
    </w:lvl>
    <w:lvl w:ilvl="3">
      <w:start w:val="1"/>
      <w:numFmt w:val="bullet"/>
      <w:pStyle w:val="BBBullet3"/>
      <w:lvlText w:val=""/>
      <w:lvlJc w:val="left"/>
      <w:pPr>
        <w:tabs>
          <w:tab w:val="num" w:pos="992"/>
        </w:tabs>
        <w:ind w:left="992" w:hanging="992"/>
      </w:pPr>
      <w:rPr>
        <w:rFonts w:ascii="Symbol" w:hAnsi="Symbol" w:hint="default"/>
      </w:rPr>
    </w:lvl>
    <w:lvl w:ilvl="4">
      <w:start w:val="1"/>
      <w:numFmt w:val="bullet"/>
      <w:pStyle w:val="BBBullet4"/>
      <w:lvlText w:val=""/>
      <w:lvlJc w:val="left"/>
      <w:pPr>
        <w:tabs>
          <w:tab w:val="num" w:pos="1701"/>
        </w:tabs>
        <w:ind w:left="1701" w:hanging="709"/>
      </w:pPr>
      <w:rPr>
        <w:rFonts w:ascii="Symbol" w:hAnsi="Symbol" w:hint="default"/>
      </w:rPr>
    </w:lvl>
    <w:lvl w:ilvl="5">
      <w:start w:val="1"/>
      <w:numFmt w:val="bullet"/>
      <w:pStyle w:val="BBBullet5"/>
      <w:lvlText w:val=""/>
      <w:lvlJc w:val="left"/>
      <w:pPr>
        <w:tabs>
          <w:tab w:val="num" w:pos="1701"/>
        </w:tabs>
        <w:ind w:left="1701" w:hanging="709"/>
      </w:pPr>
      <w:rPr>
        <w:rFonts w:ascii="Symbol" w:hAnsi="Symbol" w:hint="default"/>
      </w:rPr>
    </w:lvl>
    <w:lvl w:ilvl="6">
      <w:start w:val="1"/>
      <w:numFmt w:val="bullet"/>
      <w:pStyle w:val="BBBullet6"/>
      <w:lvlText w:val=""/>
      <w:lvlJc w:val="left"/>
      <w:pPr>
        <w:tabs>
          <w:tab w:val="num" w:pos="1701"/>
        </w:tabs>
        <w:ind w:left="1701" w:hanging="709"/>
      </w:pPr>
      <w:rPr>
        <w:rFonts w:ascii="Symbol" w:hAnsi="Symbol" w:hint="default"/>
      </w:rPr>
    </w:lvl>
    <w:lvl w:ilvl="7">
      <w:start w:val="1"/>
      <w:numFmt w:val="bullet"/>
      <w:pStyle w:val="BBBullet7"/>
      <w:lvlText w:val=""/>
      <w:lvlJc w:val="left"/>
      <w:pPr>
        <w:tabs>
          <w:tab w:val="num" w:pos="1701"/>
        </w:tabs>
        <w:ind w:left="1701" w:hanging="709"/>
      </w:pPr>
      <w:rPr>
        <w:rFonts w:ascii="Symbol" w:hAnsi="Symbol" w:hint="default"/>
      </w:rPr>
    </w:lvl>
    <w:lvl w:ilvl="8">
      <w:start w:val="1"/>
      <w:numFmt w:val="bullet"/>
      <w:pStyle w:val="BBBullet8"/>
      <w:lvlText w:val=""/>
      <w:lvlJc w:val="left"/>
      <w:pPr>
        <w:tabs>
          <w:tab w:val="num" w:pos="1701"/>
        </w:tabs>
        <w:ind w:left="1701" w:hanging="709"/>
      </w:pPr>
      <w:rPr>
        <w:rFonts w:ascii="Symbol" w:hAnsi="Symbol" w:hint="default"/>
      </w:rPr>
    </w:lvl>
  </w:abstractNum>
  <w:abstractNum w:abstractNumId="7" w15:restartNumberingAfterBreak="0">
    <w:nsid w:val="3ADF3350"/>
    <w:multiLevelType w:val="hybridMultilevel"/>
    <w:tmpl w:val="61CC4C62"/>
    <w:lvl w:ilvl="0" w:tplc="C91028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2C365B"/>
    <w:multiLevelType w:val="multilevel"/>
    <w:tmpl w:val="D6EEF0A0"/>
    <w:styleLink w:val="NumberingMain"/>
    <w:lvl w:ilvl="0">
      <w:start w:val="1"/>
      <w:numFmt w:val="decimal"/>
      <w:pStyle w:val="BBHeading1"/>
      <w:lvlText w:val="%1."/>
      <w:lvlJc w:val="left"/>
      <w:pPr>
        <w:tabs>
          <w:tab w:val="num" w:pos="992"/>
        </w:tabs>
        <w:ind w:left="992" w:hanging="992"/>
      </w:pPr>
      <w:rPr>
        <w:rFonts w:hint="default"/>
      </w:rPr>
    </w:lvl>
    <w:lvl w:ilvl="1">
      <w:start w:val="1"/>
      <w:numFmt w:val="decimal"/>
      <w:pStyle w:val="BBClause2"/>
      <w:lvlText w:val="%1.%2"/>
      <w:lvlJc w:val="left"/>
      <w:pPr>
        <w:tabs>
          <w:tab w:val="num" w:pos="992"/>
        </w:tabs>
        <w:ind w:left="992" w:hanging="992"/>
      </w:pPr>
      <w:rPr>
        <w:rFonts w:hint="default"/>
      </w:rPr>
    </w:lvl>
    <w:lvl w:ilvl="2">
      <w:start w:val="1"/>
      <w:numFmt w:val="decimal"/>
      <w:pStyle w:val="BBClause3"/>
      <w:lvlText w:val="%1.%2.%3"/>
      <w:lvlJc w:val="left"/>
      <w:pPr>
        <w:tabs>
          <w:tab w:val="num" w:pos="992"/>
        </w:tabs>
        <w:ind w:left="992" w:hanging="992"/>
      </w:pPr>
      <w:rPr>
        <w:rFonts w:hint="default"/>
      </w:rPr>
    </w:lvl>
    <w:lvl w:ilvl="3">
      <w:start w:val="1"/>
      <w:numFmt w:val="decimal"/>
      <w:pStyle w:val="BBClause4"/>
      <w:lvlText w:val="%1.%2.%3.%4"/>
      <w:lvlJc w:val="left"/>
      <w:pPr>
        <w:tabs>
          <w:tab w:val="num" w:pos="992"/>
        </w:tabs>
        <w:ind w:left="992" w:hanging="992"/>
      </w:pPr>
      <w:rPr>
        <w:rFonts w:hint="default"/>
      </w:rPr>
    </w:lvl>
    <w:lvl w:ilvl="4">
      <w:start w:val="1"/>
      <w:numFmt w:val="lowerLetter"/>
      <w:pStyle w:val="BBClause5"/>
      <w:lvlText w:val="(%5)"/>
      <w:lvlJc w:val="left"/>
      <w:pPr>
        <w:tabs>
          <w:tab w:val="num" w:pos="1701"/>
        </w:tabs>
        <w:ind w:left="1701" w:hanging="709"/>
      </w:pPr>
      <w:rPr>
        <w:rFonts w:hint="default"/>
      </w:rPr>
    </w:lvl>
    <w:lvl w:ilvl="5">
      <w:start w:val="1"/>
      <w:numFmt w:val="lowerRoman"/>
      <w:pStyle w:val="BBClause6"/>
      <w:lvlText w:val="(%6)"/>
      <w:lvlJc w:val="left"/>
      <w:pPr>
        <w:tabs>
          <w:tab w:val="num" w:pos="1701"/>
        </w:tabs>
        <w:ind w:left="1701" w:hanging="709"/>
      </w:pPr>
      <w:rPr>
        <w:rFonts w:hint="default"/>
      </w:rPr>
    </w:lvl>
    <w:lvl w:ilvl="6">
      <w:start w:val="1"/>
      <w:numFmt w:val="upperLetter"/>
      <w:pStyle w:val="BBClause7"/>
      <w:lvlText w:val="(%7)"/>
      <w:lvlJc w:val="left"/>
      <w:pPr>
        <w:tabs>
          <w:tab w:val="num" w:pos="1701"/>
        </w:tabs>
        <w:ind w:left="1701" w:hanging="709"/>
      </w:pPr>
      <w:rPr>
        <w:rFonts w:hint="default"/>
      </w:rPr>
    </w:lvl>
    <w:lvl w:ilvl="7">
      <w:start w:val="1"/>
      <w:numFmt w:val="upperRoman"/>
      <w:pStyle w:val="BBClause8"/>
      <w:lvlText w:val="(%8)"/>
      <w:lvlJc w:val="left"/>
      <w:pPr>
        <w:tabs>
          <w:tab w:val="num" w:pos="1701"/>
        </w:tabs>
        <w:ind w:left="1701" w:hanging="709"/>
      </w:pPr>
      <w:rPr>
        <w:rFonts w:hint="default"/>
      </w:rPr>
    </w:lvl>
    <w:lvl w:ilvl="8">
      <w:start w:val="1"/>
      <w:numFmt w:val="lowerRoman"/>
      <w:pStyle w:val="BBClause9"/>
      <w:lvlText w:val="%9."/>
      <w:lvlJc w:val="left"/>
      <w:pPr>
        <w:tabs>
          <w:tab w:val="num" w:pos="1701"/>
        </w:tabs>
        <w:ind w:left="1701" w:hanging="709"/>
      </w:pPr>
      <w:rPr>
        <w:rFonts w:hint="default"/>
      </w:r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0C0E62"/>
    <w:multiLevelType w:val="hybridMultilevel"/>
    <w:tmpl w:val="4BAC7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DC40AE3"/>
    <w:multiLevelType w:val="hybridMultilevel"/>
    <w:tmpl w:val="AAF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10DFB"/>
    <w:multiLevelType w:val="hybridMultilevel"/>
    <w:tmpl w:val="E2BCED5A"/>
    <w:lvl w:ilvl="0" w:tplc="658AE2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660EE"/>
    <w:multiLevelType w:val="multilevel"/>
    <w:tmpl w:val="D6EEF0A0"/>
    <w:numStyleLink w:val="NumberingMain"/>
  </w:abstractNum>
  <w:abstractNum w:abstractNumId="15" w15:restartNumberingAfterBreak="0">
    <w:nsid w:val="5E48386D"/>
    <w:multiLevelType w:val="multilevel"/>
    <w:tmpl w:val="6B7E49B2"/>
    <w:numStyleLink w:val="BulletList"/>
  </w:abstractNum>
  <w:abstractNum w:abstractNumId="16" w15:restartNumberingAfterBreak="0">
    <w:nsid w:val="635E60E1"/>
    <w:multiLevelType w:val="hybridMultilevel"/>
    <w:tmpl w:val="0FEC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80425"/>
    <w:multiLevelType w:val="hybridMultilevel"/>
    <w:tmpl w:val="9DD6C30C"/>
    <w:lvl w:ilvl="0" w:tplc="E474B3C0">
      <w:start w:val="1"/>
      <w:numFmt w:val="decimal"/>
      <w:pStyle w:val="NormalNumbered"/>
      <w:lvlText w:val="%1."/>
      <w:lvlJc w:val="left"/>
      <w:pPr>
        <w:ind w:left="360"/>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090019">
      <w:start w:val="1"/>
      <w:numFmt w:val="lowerLetter"/>
      <w:lvlText w:val="%2."/>
      <w:lvlJc w:val="left"/>
      <w:pPr>
        <w:ind w:left="1080"/>
      </w:pPr>
      <w:rPr>
        <w:rFonts w:hint="default"/>
        <w:b w:val="0"/>
        <w:i w:val="0"/>
        <w:strike w:val="0"/>
        <w:dstrike w:val="0"/>
        <w:color w:val="000000"/>
        <w:sz w:val="16"/>
        <w:szCs w:val="16"/>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B8140B"/>
    <w:multiLevelType w:val="hybridMultilevel"/>
    <w:tmpl w:val="5C5EDC68"/>
    <w:lvl w:ilvl="0" w:tplc="1A626A2A">
      <w:start w:val="1"/>
      <w:numFmt w:val="lowerLetter"/>
      <w:lvlText w:val="%1."/>
      <w:lvlJc w:val="left"/>
      <w:pPr>
        <w:ind w:left="814"/>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9" w15:restartNumberingAfterBreak="0">
    <w:nsid w:val="6CD037EF"/>
    <w:multiLevelType w:val="hybridMultilevel"/>
    <w:tmpl w:val="2A542172"/>
    <w:lvl w:ilvl="0" w:tplc="62467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2E0472F"/>
    <w:multiLevelType w:val="hybridMultilevel"/>
    <w:tmpl w:val="0FEC4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E738A"/>
    <w:multiLevelType w:val="multilevel"/>
    <w:tmpl w:val="F346826A"/>
    <w:lvl w:ilvl="0">
      <w:start w:val="1"/>
      <w:numFmt w:val="none"/>
      <w:isLgl/>
      <w:suff w:val="nothing"/>
      <w:lvlText w:val=""/>
      <w:lvlJc w:val="left"/>
      <w:pPr>
        <w:ind w:left="0" w:firstLine="0"/>
      </w:pPr>
      <w:rPr>
        <w:rFonts w:hint="default"/>
      </w:rPr>
    </w:lvl>
    <w:lvl w:ilvl="1">
      <w:start w:val="1"/>
      <w:numFmt w:val="decimal"/>
      <w:isLgl/>
      <w:lvlText w:val="%1%2."/>
      <w:lvlJc w:val="left"/>
      <w:pPr>
        <w:tabs>
          <w:tab w:val="num" w:pos="567"/>
        </w:tabs>
        <w:ind w:left="680" w:hanging="680"/>
      </w:pPr>
      <w:rPr>
        <w:rFonts w:hint="default"/>
      </w:rPr>
    </w:lvl>
    <w:lvl w:ilvl="2">
      <w:start w:val="1"/>
      <w:numFmt w:val="decimal"/>
      <w:lvlText w:val="%2.%3"/>
      <w:lvlJc w:val="left"/>
      <w:pPr>
        <w:tabs>
          <w:tab w:val="num" w:pos="1134"/>
        </w:tabs>
        <w:ind w:left="680" w:hanging="680"/>
      </w:pPr>
      <w:rPr>
        <w:rFonts w:hint="default"/>
      </w:rPr>
    </w:lvl>
    <w:lvl w:ilvl="3">
      <w:start w:val="1"/>
      <w:numFmt w:val="lowerLetter"/>
      <w:lvlText w:val="%4."/>
      <w:lvlJc w:val="left"/>
      <w:pPr>
        <w:tabs>
          <w:tab w:val="num" w:pos="1701"/>
        </w:tabs>
        <w:ind w:left="124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5A3DDE"/>
    <w:multiLevelType w:val="hybridMultilevel"/>
    <w:tmpl w:val="65920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E121CD"/>
    <w:multiLevelType w:val="hybridMultilevel"/>
    <w:tmpl w:val="28AE0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4"/>
  </w:num>
  <w:num w:numId="5">
    <w:abstractNumId w:val="15"/>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9"/>
  </w:num>
  <w:num w:numId="11">
    <w:abstractNumId w:val="3"/>
  </w:num>
  <w:num w:numId="12">
    <w:abstractNumId w:val="16"/>
  </w:num>
  <w:num w:numId="13">
    <w:abstractNumId w:val="21"/>
  </w:num>
  <w:num w:numId="14">
    <w:abstractNumId w:val="23"/>
  </w:num>
  <w:num w:numId="15">
    <w:abstractNumId w:val="12"/>
  </w:num>
  <w:num w:numId="16">
    <w:abstractNumId w:val="1"/>
  </w:num>
  <w:num w:numId="17">
    <w:abstractNumId w:val="13"/>
  </w:num>
  <w:num w:numId="18">
    <w:abstractNumId w:val="7"/>
  </w:num>
  <w:num w:numId="19">
    <w:abstractNumId w:val="24"/>
  </w:num>
  <w:num w:numId="20">
    <w:abstractNumId w:val="22"/>
  </w:num>
  <w:num w:numId="21">
    <w:abstractNumId w:val="5"/>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SJKNqidvHqbheP9xoyQl0jR6HIKK3I1r0Yc95YfaWPAF61c8zBQUPPDyA46I+jTzvXisMq0NmGd1KMZNSWE0VA==" w:salt="MgefOJLf7+EYnx0lnrQR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1B"/>
    <w:rsid w:val="000B7A1B"/>
    <w:rsid w:val="00111AF4"/>
    <w:rsid w:val="0013253C"/>
    <w:rsid w:val="00203F30"/>
    <w:rsid w:val="002B1A37"/>
    <w:rsid w:val="002C3247"/>
    <w:rsid w:val="002E3D89"/>
    <w:rsid w:val="00372C11"/>
    <w:rsid w:val="003B10D9"/>
    <w:rsid w:val="003C4B64"/>
    <w:rsid w:val="00447CBE"/>
    <w:rsid w:val="004A37BE"/>
    <w:rsid w:val="004C0764"/>
    <w:rsid w:val="00524532"/>
    <w:rsid w:val="005B0FEC"/>
    <w:rsid w:val="00667287"/>
    <w:rsid w:val="006C071E"/>
    <w:rsid w:val="006C58A1"/>
    <w:rsid w:val="006F1ACB"/>
    <w:rsid w:val="0075518C"/>
    <w:rsid w:val="007F05B1"/>
    <w:rsid w:val="00820D6A"/>
    <w:rsid w:val="008711E2"/>
    <w:rsid w:val="00891DB6"/>
    <w:rsid w:val="008B056F"/>
    <w:rsid w:val="00917045"/>
    <w:rsid w:val="00930BCD"/>
    <w:rsid w:val="00A05647"/>
    <w:rsid w:val="00A350DA"/>
    <w:rsid w:val="00A635BD"/>
    <w:rsid w:val="00AB020A"/>
    <w:rsid w:val="00B00B40"/>
    <w:rsid w:val="00C327BA"/>
    <w:rsid w:val="00E74F82"/>
    <w:rsid w:val="00E95738"/>
    <w:rsid w:val="00FC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42FD"/>
  <w15:chartTrackingRefBased/>
  <w15:docId w15:val="{73CD7AE2-C7F1-4780-8FD1-893B865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35BD"/>
    <w:pPr>
      <w:keepNext/>
      <w:spacing w:before="360" w:after="200" w:line="276" w:lineRule="auto"/>
      <w:outlineLvl w:val="1"/>
    </w:pPr>
    <w:rPr>
      <w:rFonts w:ascii="Georgia" w:eastAsia="Georgia" w:hAnsi="Georgia" w:cs="Georgia"/>
      <w:color w:val="003768"/>
      <w:sz w:val="32"/>
      <w:szCs w:val="18"/>
      <w:lang w:val="en-GB" w:eastAsia="zh-CN"/>
    </w:rPr>
  </w:style>
  <w:style w:type="paragraph" w:styleId="Heading3">
    <w:name w:val="heading 3"/>
    <w:basedOn w:val="Normal"/>
    <w:next w:val="Normal"/>
    <w:link w:val="Heading3Char"/>
    <w:uiPriority w:val="9"/>
    <w:unhideWhenUsed/>
    <w:qFormat/>
    <w:rsid w:val="00A635BD"/>
    <w:pPr>
      <w:keepNext/>
      <w:keepLines/>
      <w:spacing w:before="360" w:after="200" w:line="276" w:lineRule="auto"/>
      <w:outlineLvl w:val="2"/>
    </w:pPr>
    <w:rPr>
      <w:rFonts w:ascii="Verdana" w:eastAsiaTheme="majorEastAsia" w:hAnsi="Verdana" w:cstheme="majorBidi"/>
      <w:b/>
      <w:color w:val="003768"/>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B7A1B"/>
  </w:style>
  <w:style w:type="numbering" w:customStyle="1" w:styleId="NumberingMain">
    <w:name w:val="Numbering Main"/>
    <w:uiPriority w:val="99"/>
    <w:rsid w:val="000B7A1B"/>
    <w:pPr>
      <w:numPr>
        <w:numId w:val="1"/>
      </w:numPr>
    </w:pPr>
  </w:style>
  <w:style w:type="paragraph" w:customStyle="1" w:styleId="BBHeading1Lower">
    <w:name w:val="B&amp;B Heading 1 (Lower)"/>
    <w:basedOn w:val="BBHeading1"/>
    <w:next w:val="BBBodyTextIndent1"/>
    <w:uiPriority w:val="9"/>
    <w:rsid w:val="000B7A1B"/>
    <w:pPr>
      <w:keepNext/>
    </w:pPr>
    <w:rPr>
      <w:caps w:val="0"/>
    </w:rPr>
  </w:style>
  <w:style w:type="paragraph" w:customStyle="1" w:styleId="BBHeading2">
    <w:name w:val="B&amp;B Heading 2"/>
    <w:basedOn w:val="BBClause2"/>
    <w:next w:val="BBBodyTextIndent2"/>
    <w:uiPriority w:val="9"/>
    <w:qFormat/>
    <w:rsid w:val="000B7A1B"/>
    <w:pPr>
      <w:keepNext/>
      <w:outlineLvl w:val="1"/>
    </w:pPr>
    <w:rPr>
      <w:rFonts w:asciiTheme="majorHAnsi" w:hAnsiTheme="majorHAnsi"/>
      <w:b/>
    </w:rPr>
  </w:style>
  <w:style w:type="paragraph" w:styleId="Header">
    <w:name w:val="header"/>
    <w:aliases w:val="B&amp;B Header"/>
    <w:basedOn w:val="Normal"/>
    <w:link w:val="HeaderChar"/>
    <w:uiPriority w:val="99"/>
    <w:semiHidden/>
    <w:rsid w:val="000B7A1B"/>
    <w:pPr>
      <w:tabs>
        <w:tab w:val="center" w:pos="4513"/>
        <w:tab w:val="right" w:pos="9026"/>
      </w:tabs>
      <w:spacing w:after="0" w:line="240" w:lineRule="auto"/>
      <w:jc w:val="both"/>
    </w:pPr>
    <w:rPr>
      <w:rFonts w:cs="Times New Roman"/>
      <w:lang w:val="en-GB"/>
    </w:rPr>
  </w:style>
  <w:style w:type="character" w:customStyle="1" w:styleId="HeaderChar">
    <w:name w:val="Header Char"/>
    <w:aliases w:val="B&amp;B Header Char"/>
    <w:basedOn w:val="DefaultParagraphFont"/>
    <w:link w:val="Header"/>
    <w:uiPriority w:val="99"/>
    <w:semiHidden/>
    <w:rsid w:val="000B7A1B"/>
    <w:rPr>
      <w:rFonts w:cs="Times New Roman"/>
      <w:lang w:val="en-GB"/>
    </w:rPr>
  </w:style>
  <w:style w:type="paragraph" w:styleId="Footer">
    <w:name w:val="footer"/>
    <w:aliases w:val="B&amp;B Footer"/>
    <w:basedOn w:val="Normal"/>
    <w:link w:val="FooterChar"/>
    <w:uiPriority w:val="99"/>
    <w:semiHidden/>
    <w:rsid w:val="000B7A1B"/>
    <w:pPr>
      <w:tabs>
        <w:tab w:val="center" w:pos="4513"/>
        <w:tab w:val="right" w:pos="9026"/>
      </w:tabs>
      <w:spacing w:after="0" w:line="240" w:lineRule="auto"/>
      <w:jc w:val="center"/>
    </w:pPr>
    <w:rPr>
      <w:rFonts w:cs="Times New Roman"/>
      <w:lang w:val="en-GB"/>
    </w:rPr>
  </w:style>
  <w:style w:type="character" w:customStyle="1" w:styleId="FooterChar">
    <w:name w:val="Footer Char"/>
    <w:aliases w:val="B&amp;B Footer Char"/>
    <w:basedOn w:val="DefaultParagraphFont"/>
    <w:link w:val="Footer"/>
    <w:uiPriority w:val="99"/>
    <w:semiHidden/>
    <w:rsid w:val="000B7A1B"/>
    <w:rPr>
      <w:rFonts w:cs="Times New Roman"/>
      <w:lang w:val="en-GB"/>
    </w:rPr>
  </w:style>
  <w:style w:type="paragraph" w:customStyle="1" w:styleId="BBHeading3">
    <w:name w:val="B&amp;B Heading 3"/>
    <w:basedOn w:val="BBClause3"/>
    <w:next w:val="BBBodyTextIndent3"/>
    <w:uiPriority w:val="9"/>
    <w:qFormat/>
    <w:rsid w:val="000B7A1B"/>
    <w:pPr>
      <w:keepNext/>
      <w:outlineLvl w:val="2"/>
    </w:pPr>
    <w:rPr>
      <w:rFonts w:ascii="Georgia" w:hAnsi="Georgia"/>
      <w:b/>
    </w:rPr>
  </w:style>
  <w:style w:type="paragraph" w:customStyle="1" w:styleId="BBHeading4">
    <w:name w:val="B&amp;B Heading 4"/>
    <w:basedOn w:val="BBClause4"/>
    <w:next w:val="BBBodyTextIndent4"/>
    <w:uiPriority w:val="9"/>
    <w:qFormat/>
    <w:rsid w:val="000B7A1B"/>
    <w:pPr>
      <w:keepNext/>
      <w:outlineLvl w:val="3"/>
    </w:pPr>
    <w:rPr>
      <w:rFonts w:asciiTheme="majorHAnsi" w:hAnsiTheme="majorHAnsi"/>
      <w:b/>
    </w:rPr>
  </w:style>
  <w:style w:type="paragraph" w:customStyle="1" w:styleId="BBHeading5">
    <w:name w:val="B&amp;B Heading 5"/>
    <w:basedOn w:val="BBClause5"/>
    <w:next w:val="BBBodyTextIndent5"/>
    <w:uiPriority w:val="9"/>
    <w:rsid w:val="000B7A1B"/>
    <w:pPr>
      <w:keepNext/>
      <w:outlineLvl w:val="4"/>
    </w:pPr>
    <w:rPr>
      <w:rFonts w:asciiTheme="majorHAnsi" w:hAnsiTheme="majorHAnsi"/>
      <w:b/>
    </w:rPr>
  </w:style>
  <w:style w:type="paragraph" w:customStyle="1" w:styleId="BBHeading1">
    <w:name w:val="B&amp;B Heading 1"/>
    <w:basedOn w:val="BodyText"/>
    <w:next w:val="BBBodyTextIndent1"/>
    <w:uiPriority w:val="9"/>
    <w:qFormat/>
    <w:rsid w:val="000B7A1B"/>
    <w:pPr>
      <w:numPr>
        <w:numId w:val="4"/>
      </w:numPr>
      <w:outlineLvl w:val="0"/>
    </w:pPr>
    <w:rPr>
      <w:rFonts w:asciiTheme="majorHAnsi" w:hAnsiTheme="majorHAnsi"/>
      <w:b/>
      <w:caps/>
    </w:rPr>
  </w:style>
  <w:style w:type="paragraph" w:styleId="BodyText">
    <w:name w:val="Body Text"/>
    <w:aliases w:val="B&amp;B Body Text"/>
    <w:basedOn w:val="Normal"/>
    <w:link w:val="BodyTextChar"/>
    <w:rsid w:val="000B7A1B"/>
    <w:pPr>
      <w:spacing w:after="240" w:line="240" w:lineRule="auto"/>
      <w:jc w:val="both"/>
    </w:pPr>
    <w:rPr>
      <w:rFonts w:cs="Times New Roman"/>
      <w:lang w:val="en-GB"/>
    </w:rPr>
  </w:style>
  <w:style w:type="character" w:customStyle="1" w:styleId="BodyTextChar">
    <w:name w:val="Body Text Char"/>
    <w:aliases w:val="B&amp;B Body Text Char"/>
    <w:basedOn w:val="DefaultParagraphFont"/>
    <w:link w:val="BodyText"/>
    <w:rsid w:val="000B7A1B"/>
    <w:rPr>
      <w:rFonts w:cs="Times New Roman"/>
      <w:lang w:val="en-GB"/>
    </w:rPr>
  </w:style>
  <w:style w:type="paragraph" w:customStyle="1" w:styleId="BBHeading6">
    <w:name w:val="B&amp;B Heading 6"/>
    <w:basedOn w:val="BBClause6"/>
    <w:next w:val="BBBodyTextIndent6"/>
    <w:uiPriority w:val="9"/>
    <w:rsid w:val="000B7A1B"/>
    <w:pPr>
      <w:keepNext/>
      <w:outlineLvl w:val="5"/>
    </w:pPr>
    <w:rPr>
      <w:rFonts w:asciiTheme="majorHAnsi" w:hAnsiTheme="majorHAnsi"/>
      <w:b/>
    </w:rPr>
  </w:style>
  <w:style w:type="paragraph" w:customStyle="1" w:styleId="BBHeading7">
    <w:name w:val="B&amp;B Heading 7"/>
    <w:basedOn w:val="BBClause7"/>
    <w:next w:val="BBBodyTextIndent7"/>
    <w:uiPriority w:val="9"/>
    <w:rsid w:val="000B7A1B"/>
    <w:pPr>
      <w:keepNext/>
      <w:outlineLvl w:val="6"/>
    </w:pPr>
    <w:rPr>
      <w:rFonts w:asciiTheme="majorHAnsi" w:hAnsiTheme="majorHAnsi"/>
      <w:b/>
    </w:rPr>
  </w:style>
  <w:style w:type="paragraph" w:customStyle="1" w:styleId="BBHeading8">
    <w:name w:val="B&amp;B Heading 8"/>
    <w:basedOn w:val="BBClause8"/>
    <w:next w:val="BBBodyTextIndent8"/>
    <w:uiPriority w:val="9"/>
    <w:rsid w:val="000B7A1B"/>
    <w:pPr>
      <w:keepNext/>
      <w:outlineLvl w:val="7"/>
    </w:pPr>
    <w:rPr>
      <w:rFonts w:asciiTheme="majorHAnsi" w:hAnsiTheme="majorHAnsi"/>
      <w:b/>
    </w:rPr>
  </w:style>
  <w:style w:type="paragraph" w:customStyle="1" w:styleId="BBHeading9">
    <w:name w:val="B&amp;B Heading 9"/>
    <w:basedOn w:val="BBClause9"/>
    <w:next w:val="BBBodyTextIndent9"/>
    <w:uiPriority w:val="9"/>
    <w:rsid w:val="000B7A1B"/>
    <w:pPr>
      <w:keepNext/>
      <w:outlineLvl w:val="8"/>
    </w:pPr>
    <w:rPr>
      <w:rFonts w:asciiTheme="majorHAnsi" w:hAnsiTheme="majorHAnsi"/>
      <w:b/>
    </w:rPr>
  </w:style>
  <w:style w:type="paragraph" w:customStyle="1" w:styleId="BBClause1">
    <w:name w:val="B&amp;B Clause 1"/>
    <w:basedOn w:val="BBHeading1"/>
    <w:uiPriority w:val="29"/>
    <w:qFormat/>
    <w:rsid w:val="000B7A1B"/>
    <w:rPr>
      <w:rFonts w:asciiTheme="minorHAnsi" w:hAnsiTheme="minorHAnsi"/>
      <w:b w:val="0"/>
      <w:caps w:val="0"/>
    </w:rPr>
  </w:style>
  <w:style w:type="paragraph" w:customStyle="1" w:styleId="BBClause2">
    <w:name w:val="B&amp;B Clause 2"/>
    <w:basedOn w:val="BodyText"/>
    <w:uiPriority w:val="29"/>
    <w:qFormat/>
    <w:rsid w:val="000B7A1B"/>
    <w:pPr>
      <w:numPr>
        <w:ilvl w:val="1"/>
        <w:numId w:val="4"/>
      </w:numPr>
    </w:pPr>
  </w:style>
  <w:style w:type="paragraph" w:customStyle="1" w:styleId="BBClause3">
    <w:name w:val="B&amp;B Clause 3"/>
    <w:basedOn w:val="BodyText"/>
    <w:uiPriority w:val="29"/>
    <w:qFormat/>
    <w:rsid w:val="000B7A1B"/>
    <w:pPr>
      <w:numPr>
        <w:ilvl w:val="2"/>
        <w:numId w:val="4"/>
      </w:numPr>
    </w:pPr>
  </w:style>
  <w:style w:type="paragraph" w:customStyle="1" w:styleId="BBClause4">
    <w:name w:val="B&amp;B Clause 4"/>
    <w:basedOn w:val="BodyText"/>
    <w:uiPriority w:val="29"/>
    <w:qFormat/>
    <w:rsid w:val="000B7A1B"/>
    <w:pPr>
      <w:numPr>
        <w:ilvl w:val="3"/>
        <w:numId w:val="4"/>
      </w:numPr>
    </w:pPr>
  </w:style>
  <w:style w:type="paragraph" w:customStyle="1" w:styleId="BBClause5">
    <w:name w:val="B&amp;B Clause 5"/>
    <w:basedOn w:val="BodyText"/>
    <w:uiPriority w:val="29"/>
    <w:rsid w:val="000B7A1B"/>
    <w:pPr>
      <w:numPr>
        <w:ilvl w:val="4"/>
        <w:numId w:val="4"/>
      </w:numPr>
    </w:pPr>
  </w:style>
  <w:style w:type="paragraph" w:customStyle="1" w:styleId="BBClause6">
    <w:name w:val="B&amp;B Clause 6"/>
    <w:basedOn w:val="BodyText"/>
    <w:uiPriority w:val="29"/>
    <w:rsid w:val="000B7A1B"/>
    <w:pPr>
      <w:numPr>
        <w:ilvl w:val="5"/>
        <w:numId w:val="4"/>
      </w:numPr>
    </w:pPr>
  </w:style>
  <w:style w:type="paragraph" w:customStyle="1" w:styleId="BBClause7">
    <w:name w:val="B&amp;B Clause 7"/>
    <w:basedOn w:val="BodyText"/>
    <w:uiPriority w:val="29"/>
    <w:rsid w:val="000B7A1B"/>
    <w:pPr>
      <w:numPr>
        <w:ilvl w:val="6"/>
        <w:numId w:val="4"/>
      </w:numPr>
    </w:pPr>
  </w:style>
  <w:style w:type="paragraph" w:customStyle="1" w:styleId="BBClause8">
    <w:name w:val="B&amp;B Clause 8"/>
    <w:basedOn w:val="BodyText"/>
    <w:uiPriority w:val="29"/>
    <w:rsid w:val="000B7A1B"/>
    <w:pPr>
      <w:numPr>
        <w:ilvl w:val="7"/>
        <w:numId w:val="4"/>
      </w:numPr>
    </w:pPr>
  </w:style>
  <w:style w:type="paragraph" w:customStyle="1" w:styleId="BBClause9">
    <w:name w:val="B&amp;B Clause 9"/>
    <w:basedOn w:val="BodyText"/>
    <w:uiPriority w:val="29"/>
    <w:rsid w:val="000B7A1B"/>
    <w:pPr>
      <w:numPr>
        <w:ilvl w:val="8"/>
        <w:numId w:val="4"/>
      </w:numPr>
    </w:pPr>
  </w:style>
  <w:style w:type="paragraph" w:customStyle="1" w:styleId="BBScheduleHeading1">
    <w:name w:val="B&amp;B Schedule Heading 1"/>
    <w:basedOn w:val="BodyText"/>
    <w:next w:val="BBBodyTextIndent1"/>
    <w:uiPriority w:val="49"/>
    <w:rsid w:val="000B7A1B"/>
    <w:pPr>
      <w:keepNext/>
      <w:numPr>
        <w:numId w:val="6"/>
      </w:numPr>
      <w:spacing w:before="120"/>
      <w:outlineLvl w:val="0"/>
    </w:pPr>
    <w:rPr>
      <w:rFonts w:ascii="Georgia" w:hAnsi="Georgia"/>
      <w:b/>
      <w:szCs w:val="20"/>
    </w:rPr>
  </w:style>
  <w:style w:type="paragraph" w:customStyle="1" w:styleId="BBScheduleHeading2">
    <w:name w:val="B&amp;B Schedule Heading 2"/>
    <w:basedOn w:val="BBSchedule2"/>
    <w:next w:val="BBBodyTextIndent2"/>
    <w:uiPriority w:val="49"/>
    <w:rsid w:val="000B7A1B"/>
    <w:pPr>
      <w:keepNext/>
      <w:outlineLvl w:val="1"/>
    </w:pPr>
    <w:rPr>
      <w:rFonts w:asciiTheme="majorHAnsi" w:hAnsiTheme="majorHAnsi"/>
      <w:b/>
    </w:rPr>
  </w:style>
  <w:style w:type="paragraph" w:customStyle="1" w:styleId="BBScheduleHeading3">
    <w:name w:val="B&amp;B Schedule Heading 3"/>
    <w:basedOn w:val="BBSchedule3"/>
    <w:next w:val="BBBodyTextIndent3"/>
    <w:uiPriority w:val="49"/>
    <w:rsid w:val="000B7A1B"/>
    <w:pPr>
      <w:keepNext/>
      <w:outlineLvl w:val="2"/>
    </w:pPr>
    <w:rPr>
      <w:rFonts w:asciiTheme="majorHAnsi" w:hAnsiTheme="majorHAnsi"/>
      <w:b/>
    </w:rPr>
  </w:style>
  <w:style w:type="paragraph" w:customStyle="1" w:styleId="BBScheduleHeading4">
    <w:name w:val="B&amp;B Schedule Heading 4"/>
    <w:basedOn w:val="BBSchedule4"/>
    <w:next w:val="BBBodyTextIndent4"/>
    <w:uiPriority w:val="49"/>
    <w:rsid w:val="000B7A1B"/>
    <w:pPr>
      <w:keepNext/>
      <w:outlineLvl w:val="3"/>
    </w:pPr>
    <w:rPr>
      <w:rFonts w:asciiTheme="majorHAnsi" w:hAnsiTheme="majorHAnsi"/>
      <w:b/>
    </w:rPr>
  </w:style>
  <w:style w:type="paragraph" w:customStyle="1" w:styleId="BBScheduleHeading5">
    <w:name w:val="B&amp;B Schedule Heading 5"/>
    <w:basedOn w:val="BBSchedule5"/>
    <w:next w:val="BBBodyTextIndent5"/>
    <w:uiPriority w:val="49"/>
    <w:rsid w:val="000B7A1B"/>
    <w:pPr>
      <w:keepNext/>
      <w:outlineLvl w:val="4"/>
    </w:pPr>
    <w:rPr>
      <w:rFonts w:asciiTheme="majorHAnsi" w:hAnsiTheme="majorHAnsi"/>
      <w:b/>
    </w:rPr>
  </w:style>
  <w:style w:type="paragraph" w:customStyle="1" w:styleId="BBScheduleHeading6">
    <w:name w:val="B&amp;B Schedule Heading 6"/>
    <w:basedOn w:val="BBSchedule6"/>
    <w:next w:val="BBBodyTextIndent6"/>
    <w:uiPriority w:val="49"/>
    <w:rsid w:val="000B7A1B"/>
    <w:pPr>
      <w:keepNext/>
      <w:outlineLvl w:val="5"/>
    </w:pPr>
    <w:rPr>
      <w:rFonts w:asciiTheme="majorHAnsi" w:hAnsiTheme="majorHAnsi"/>
      <w:b/>
    </w:rPr>
  </w:style>
  <w:style w:type="paragraph" w:customStyle="1" w:styleId="BBScheduleHeading7">
    <w:name w:val="B&amp;B Schedule Heading 7"/>
    <w:basedOn w:val="BBSchedule7"/>
    <w:next w:val="BBBodyTextIndent7"/>
    <w:uiPriority w:val="49"/>
    <w:rsid w:val="000B7A1B"/>
    <w:pPr>
      <w:keepNext/>
      <w:outlineLvl w:val="6"/>
    </w:pPr>
    <w:rPr>
      <w:rFonts w:asciiTheme="majorHAnsi" w:hAnsiTheme="majorHAnsi"/>
      <w:b/>
    </w:rPr>
  </w:style>
  <w:style w:type="paragraph" w:customStyle="1" w:styleId="BBScheduleHeading8">
    <w:name w:val="B&amp;B Schedule Heading 8"/>
    <w:basedOn w:val="BBSchedule8"/>
    <w:next w:val="BBBodyTextIndent8"/>
    <w:uiPriority w:val="49"/>
    <w:rsid w:val="000B7A1B"/>
    <w:pPr>
      <w:keepNext/>
      <w:outlineLvl w:val="7"/>
    </w:pPr>
    <w:rPr>
      <w:rFonts w:asciiTheme="majorHAnsi" w:hAnsiTheme="majorHAnsi"/>
      <w:b/>
    </w:rPr>
  </w:style>
  <w:style w:type="paragraph" w:customStyle="1" w:styleId="BBScheduleHeading9">
    <w:name w:val="B&amp;B Schedule Heading 9"/>
    <w:basedOn w:val="BBSchedule9"/>
    <w:next w:val="BBBodyTextIndent9"/>
    <w:uiPriority w:val="49"/>
    <w:rsid w:val="000B7A1B"/>
    <w:pPr>
      <w:keepNext/>
      <w:outlineLvl w:val="8"/>
    </w:pPr>
    <w:rPr>
      <w:rFonts w:asciiTheme="majorHAnsi" w:hAnsiTheme="majorHAnsi"/>
      <w:b/>
    </w:rPr>
  </w:style>
  <w:style w:type="paragraph" w:customStyle="1" w:styleId="BBScheduleTitle">
    <w:name w:val="B&amp;B Schedule Title"/>
    <w:basedOn w:val="BodyText"/>
    <w:next w:val="BBScheduleSub-title"/>
    <w:uiPriority w:val="47"/>
    <w:rsid w:val="000B7A1B"/>
    <w:pPr>
      <w:keepNext/>
      <w:pageBreakBefore/>
      <w:jc w:val="center"/>
    </w:pPr>
    <w:rPr>
      <w:rFonts w:asciiTheme="majorHAnsi" w:hAnsiTheme="majorHAnsi"/>
      <w:b/>
    </w:rPr>
  </w:style>
  <w:style w:type="paragraph" w:customStyle="1" w:styleId="BBScheduleSub-title">
    <w:name w:val="B&amp;B Schedule Sub-title"/>
    <w:basedOn w:val="Normal"/>
    <w:next w:val="BodyText"/>
    <w:uiPriority w:val="48"/>
    <w:rsid w:val="000B7A1B"/>
    <w:pPr>
      <w:keepNext/>
      <w:spacing w:after="240" w:line="240" w:lineRule="auto"/>
      <w:jc w:val="center"/>
    </w:pPr>
    <w:rPr>
      <w:rFonts w:asciiTheme="majorHAnsi" w:hAnsiTheme="majorHAnsi" w:cs="Times New Roman"/>
      <w:b/>
      <w:lang w:val="en-GB"/>
    </w:rPr>
  </w:style>
  <w:style w:type="paragraph" w:customStyle="1" w:styleId="BBSchedule1">
    <w:name w:val="B&amp;B Schedule 1"/>
    <w:basedOn w:val="BBScheduleHeading1"/>
    <w:uiPriority w:val="59"/>
    <w:rsid w:val="000B7A1B"/>
    <w:rPr>
      <w:rFonts w:asciiTheme="minorHAnsi" w:hAnsiTheme="minorHAnsi"/>
      <w:b w:val="0"/>
    </w:rPr>
  </w:style>
  <w:style w:type="paragraph" w:customStyle="1" w:styleId="BBSchedule2">
    <w:name w:val="B&amp;B Schedule 2"/>
    <w:basedOn w:val="BodyText"/>
    <w:uiPriority w:val="59"/>
    <w:rsid w:val="000B7A1B"/>
    <w:pPr>
      <w:numPr>
        <w:ilvl w:val="1"/>
        <w:numId w:val="6"/>
      </w:numPr>
    </w:pPr>
    <w:rPr>
      <w:rFonts w:ascii="Georgia" w:hAnsi="Georgia"/>
      <w:szCs w:val="20"/>
    </w:rPr>
  </w:style>
  <w:style w:type="paragraph" w:customStyle="1" w:styleId="BBSchedule3">
    <w:name w:val="B&amp;B Schedule 3"/>
    <w:basedOn w:val="BodyText"/>
    <w:uiPriority w:val="59"/>
    <w:rsid w:val="000B7A1B"/>
    <w:pPr>
      <w:numPr>
        <w:ilvl w:val="2"/>
        <w:numId w:val="6"/>
      </w:numPr>
    </w:pPr>
    <w:rPr>
      <w:rFonts w:ascii="Georgia" w:hAnsi="Georgia"/>
      <w:szCs w:val="20"/>
    </w:rPr>
  </w:style>
  <w:style w:type="paragraph" w:customStyle="1" w:styleId="BBSchedule5">
    <w:name w:val="B&amp;B Schedule 5"/>
    <w:basedOn w:val="BodyText"/>
    <w:uiPriority w:val="59"/>
    <w:rsid w:val="000B7A1B"/>
    <w:pPr>
      <w:numPr>
        <w:ilvl w:val="4"/>
        <w:numId w:val="6"/>
      </w:numPr>
    </w:pPr>
    <w:rPr>
      <w:rFonts w:ascii="Georgia" w:hAnsi="Georgia"/>
      <w:szCs w:val="20"/>
    </w:rPr>
  </w:style>
  <w:style w:type="paragraph" w:customStyle="1" w:styleId="BBSchedule6">
    <w:name w:val="B&amp;B Schedule 6"/>
    <w:basedOn w:val="BodyText"/>
    <w:uiPriority w:val="59"/>
    <w:rsid w:val="000B7A1B"/>
    <w:pPr>
      <w:numPr>
        <w:ilvl w:val="5"/>
        <w:numId w:val="6"/>
      </w:numPr>
    </w:pPr>
    <w:rPr>
      <w:rFonts w:ascii="Georgia" w:hAnsi="Georgia"/>
      <w:szCs w:val="20"/>
    </w:rPr>
  </w:style>
  <w:style w:type="paragraph" w:customStyle="1" w:styleId="BBSchedule7">
    <w:name w:val="B&amp;B Schedule 7"/>
    <w:basedOn w:val="BodyText"/>
    <w:uiPriority w:val="59"/>
    <w:rsid w:val="000B7A1B"/>
    <w:pPr>
      <w:numPr>
        <w:ilvl w:val="6"/>
        <w:numId w:val="6"/>
      </w:numPr>
    </w:pPr>
    <w:rPr>
      <w:rFonts w:ascii="Georgia" w:hAnsi="Georgia"/>
      <w:szCs w:val="20"/>
    </w:rPr>
  </w:style>
  <w:style w:type="paragraph" w:customStyle="1" w:styleId="BBSchedule8">
    <w:name w:val="B&amp;B Schedule 8"/>
    <w:basedOn w:val="BodyText"/>
    <w:uiPriority w:val="59"/>
    <w:rsid w:val="000B7A1B"/>
    <w:pPr>
      <w:numPr>
        <w:ilvl w:val="7"/>
        <w:numId w:val="6"/>
      </w:numPr>
    </w:pPr>
    <w:rPr>
      <w:rFonts w:ascii="Georgia" w:hAnsi="Georgia"/>
      <w:szCs w:val="20"/>
    </w:rPr>
  </w:style>
  <w:style w:type="paragraph" w:customStyle="1" w:styleId="BBSchedule9">
    <w:name w:val="B&amp;B Schedule 9"/>
    <w:basedOn w:val="BodyText"/>
    <w:uiPriority w:val="59"/>
    <w:rsid w:val="000B7A1B"/>
    <w:pPr>
      <w:numPr>
        <w:ilvl w:val="8"/>
        <w:numId w:val="6"/>
      </w:numPr>
    </w:pPr>
    <w:rPr>
      <w:rFonts w:ascii="Georgia" w:hAnsi="Georgia"/>
      <w:szCs w:val="20"/>
    </w:rPr>
  </w:style>
  <w:style w:type="numbering" w:customStyle="1" w:styleId="NumberingSchedules">
    <w:name w:val="Numbering Schedules"/>
    <w:uiPriority w:val="99"/>
    <w:rsid w:val="000B7A1B"/>
    <w:pPr>
      <w:numPr>
        <w:numId w:val="2"/>
      </w:numPr>
    </w:pPr>
  </w:style>
  <w:style w:type="paragraph" w:customStyle="1" w:styleId="BBBodyTextIndent1">
    <w:name w:val="B&amp;B Body Text Indent 1"/>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2">
    <w:name w:val="B&amp;B Body Text Indent 2"/>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3">
    <w:name w:val="B&amp;B Body Text Indent 3"/>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4">
    <w:name w:val="B&amp;B Body Text Indent 4"/>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5">
    <w:name w:val="B&amp;B Body Text Indent 5"/>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6">
    <w:name w:val="B&amp;B Body Text Indent 6"/>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7">
    <w:name w:val="B&amp;B Body Text Indent 7"/>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8">
    <w:name w:val="B&amp;B Body Text Indent 8"/>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9">
    <w:name w:val="B&amp;B Body Text Indent 9"/>
    <w:basedOn w:val="Normal"/>
    <w:uiPriority w:val="19"/>
    <w:rsid w:val="000B7A1B"/>
    <w:pPr>
      <w:spacing w:after="240" w:line="240" w:lineRule="auto"/>
      <w:ind w:left="1701"/>
      <w:jc w:val="both"/>
    </w:pPr>
    <w:rPr>
      <w:rFonts w:ascii="Georgia" w:hAnsi="Georgia" w:cs="Times New Roman"/>
      <w:lang w:val="en-GB"/>
    </w:rPr>
  </w:style>
  <w:style w:type="paragraph" w:customStyle="1" w:styleId="BBEndnoteText">
    <w:name w:val="B&amp;B Endnote Text"/>
    <w:basedOn w:val="Normal"/>
    <w:uiPriority w:val="69"/>
    <w:semiHidden/>
    <w:rsid w:val="000B7A1B"/>
    <w:pPr>
      <w:spacing w:after="0" w:line="240" w:lineRule="auto"/>
      <w:ind w:left="62" w:hanging="62"/>
      <w:jc w:val="both"/>
    </w:pPr>
    <w:rPr>
      <w:rFonts w:cs="Times New Roman"/>
      <w:sz w:val="16"/>
      <w:lang w:val="en-GB"/>
    </w:rPr>
  </w:style>
  <w:style w:type="paragraph" w:customStyle="1" w:styleId="BBFootnoteText">
    <w:name w:val="B&amp;B Footnote Text"/>
    <w:basedOn w:val="Normal"/>
    <w:uiPriority w:val="69"/>
    <w:semiHidden/>
    <w:rsid w:val="000B7A1B"/>
    <w:pPr>
      <w:spacing w:after="0" w:line="240" w:lineRule="auto"/>
      <w:ind w:left="113" w:hanging="113"/>
      <w:jc w:val="both"/>
    </w:pPr>
    <w:rPr>
      <w:rFonts w:cs="Times New Roman"/>
      <w:sz w:val="16"/>
      <w:lang w:val="en-GB"/>
    </w:rPr>
  </w:style>
  <w:style w:type="paragraph" w:customStyle="1" w:styleId="BBSchedule4">
    <w:name w:val="B&amp;B Schedule 4"/>
    <w:basedOn w:val="BodyText"/>
    <w:uiPriority w:val="59"/>
    <w:rsid w:val="000B7A1B"/>
    <w:pPr>
      <w:numPr>
        <w:ilvl w:val="3"/>
        <w:numId w:val="6"/>
      </w:numPr>
    </w:pPr>
    <w:rPr>
      <w:rFonts w:ascii="Georgia" w:hAnsi="Georgia"/>
      <w:szCs w:val="20"/>
    </w:rPr>
  </w:style>
  <w:style w:type="paragraph" w:customStyle="1" w:styleId="BBBullet1">
    <w:name w:val="B&amp;B Bullet 1"/>
    <w:basedOn w:val="BodyText"/>
    <w:uiPriority w:val="39"/>
    <w:rsid w:val="000B7A1B"/>
    <w:pPr>
      <w:numPr>
        <w:ilvl w:val="1"/>
        <w:numId w:val="5"/>
      </w:numPr>
    </w:pPr>
    <w:rPr>
      <w:rFonts w:ascii="Georgia" w:hAnsi="Georgia"/>
    </w:rPr>
  </w:style>
  <w:style w:type="paragraph" w:customStyle="1" w:styleId="BBBullet2">
    <w:name w:val="B&amp;B Bullet 2"/>
    <w:basedOn w:val="BodyText"/>
    <w:uiPriority w:val="39"/>
    <w:rsid w:val="000B7A1B"/>
    <w:pPr>
      <w:numPr>
        <w:ilvl w:val="2"/>
        <w:numId w:val="5"/>
      </w:numPr>
    </w:pPr>
    <w:rPr>
      <w:rFonts w:ascii="Georgia" w:hAnsi="Georgia"/>
    </w:rPr>
  </w:style>
  <w:style w:type="paragraph" w:customStyle="1" w:styleId="BBBullet3">
    <w:name w:val="B&amp;B Bullet 3"/>
    <w:basedOn w:val="BodyText"/>
    <w:uiPriority w:val="39"/>
    <w:rsid w:val="000B7A1B"/>
    <w:pPr>
      <w:numPr>
        <w:ilvl w:val="3"/>
        <w:numId w:val="5"/>
      </w:numPr>
    </w:pPr>
    <w:rPr>
      <w:rFonts w:ascii="Georgia" w:hAnsi="Georgia"/>
    </w:rPr>
  </w:style>
  <w:style w:type="paragraph" w:customStyle="1" w:styleId="BBBullet4">
    <w:name w:val="B&amp;B Bullet 4"/>
    <w:basedOn w:val="BodyText"/>
    <w:uiPriority w:val="39"/>
    <w:rsid w:val="000B7A1B"/>
    <w:pPr>
      <w:numPr>
        <w:ilvl w:val="4"/>
        <w:numId w:val="5"/>
      </w:numPr>
    </w:pPr>
    <w:rPr>
      <w:rFonts w:ascii="Georgia" w:hAnsi="Georgia"/>
    </w:rPr>
  </w:style>
  <w:style w:type="paragraph" w:customStyle="1" w:styleId="BBBullet5">
    <w:name w:val="B&amp;B Bullet 5"/>
    <w:basedOn w:val="BodyText"/>
    <w:uiPriority w:val="39"/>
    <w:rsid w:val="000B7A1B"/>
    <w:pPr>
      <w:numPr>
        <w:ilvl w:val="5"/>
        <w:numId w:val="5"/>
      </w:numPr>
    </w:pPr>
    <w:rPr>
      <w:rFonts w:ascii="Georgia" w:hAnsi="Georgia"/>
    </w:rPr>
  </w:style>
  <w:style w:type="paragraph" w:customStyle="1" w:styleId="BBBullet6">
    <w:name w:val="B&amp;B Bullet 6"/>
    <w:basedOn w:val="BodyText"/>
    <w:uiPriority w:val="39"/>
    <w:rsid w:val="000B7A1B"/>
    <w:pPr>
      <w:numPr>
        <w:ilvl w:val="6"/>
        <w:numId w:val="5"/>
      </w:numPr>
    </w:pPr>
    <w:rPr>
      <w:rFonts w:ascii="Georgia" w:hAnsi="Georgia"/>
    </w:rPr>
  </w:style>
  <w:style w:type="paragraph" w:customStyle="1" w:styleId="BBBullet7">
    <w:name w:val="B&amp;B Bullet 7"/>
    <w:basedOn w:val="BodyText"/>
    <w:uiPriority w:val="39"/>
    <w:rsid w:val="000B7A1B"/>
    <w:pPr>
      <w:numPr>
        <w:ilvl w:val="7"/>
        <w:numId w:val="5"/>
      </w:numPr>
    </w:pPr>
    <w:rPr>
      <w:rFonts w:ascii="Georgia" w:hAnsi="Georgia"/>
    </w:rPr>
  </w:style>
  <w:style w:type="paragraph" w:customStyle="1" w:styleId="BBBullet8">
    <w:name w:val="B&amp;B Bullet 8"/>
    <w:basedOn w:val="BodyText"/>
    <w:uiPriority w:val="39"/>
    <w:rsid w:val="000B7A1B"/>
    <w:pPr>
      <w:numPr>
        <w:ilvl w:val="8"/>
        <w:numId w:val="5"/>
      </w:numPr>
    </w:pPr>
    <w:rPr>
      <w:rFonts w:ascii="Georgia" w:hAnsi="Georgia"/>
    </w:rPr>
  </w:style>
  <w:style w:type="paragraph" w:customStyle="1" w:styleId="BBBulletatMargin">
    <w:name w:val="B&amp;B Bullet at Margin"/>
    <w:basedOn w:val="BBBullet8"/>
    <w:uiPriority w:val="38"/>
    <w:rsid w:val="000B7A1B"/>
    <w:pPr>
      <w:numPr>
        <w:ilvl w:val="0"/>
      </w:numPr>
    </w:pPr>
  </w:style>
  <w:style w:type="numbering" w:customStyle="1" w:styleId="BulletList">
    <w:name w:val="Bullet List"/>
    <w:uiPriority w:val="99"/>
    <w:rsid w:val="000B7A1B"/>
    <w:pPr>
      <w:numPr>
        <w:numId w:val="3"/>
      </w:numPr>
    </w:pPr>
  </w:style>
  <w:style w:type="paragraph" w:styleId="BalloonText">
    <w:name w:val="Balloon Text"/>
    <w:basedOn w:val="Normal"/>
    <w:link w:val="BalloonTextChar"/>
    <w:uiPriority w:val="99"/>
    <w:semiHidden/>
    <w:unhideWhenUsed/>
    <w:rsid w:val="000B7A1B"/>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B7A1B"/>
    <w:rPr>
      <w:rFonts w:ascii="Tahoma" w:hAnsi="Tahoma" w:cs="Tahoma"/>
      <w:sz w:val="16"/>
      <w:szCs w:val="16"/>
      <w:lang w:val="en-GB"/>
    </w:rPr>
  </w:style>
  <w:style w:type="paragraph" w:customStyle="1" w:styleId="BBBodyTextNoSpacing">
    <w:name w:val="B&amp;B Body Text No Spacing"/>
    <w:basedOn w:val="BodyText"/>
    <w:uiPriority w:val="1"/>
    <w:qFormat/>
    <w:rsid w:val="000B7A1B"/>
    <w:pPr>
      <w:spacing w:after="0"/>
    </w:pPr>
  </w:style>
  <w:style w:type="paragraph" w:customStyle="1" w:styleId="BBHeading0">
    <w:name w:val="B&amp;B Heading 0"/>
    <w:basedOn w:val="BodyText"/>
    <w:next w:val="BodyText"/>
    <w:uiPriority w:val="8"/>
    <w:qFormat/>
    <w:rsid w:val="000B7A1B"/>
    <w:pPr>
      <w:keepNext/>
      <w:outlineLvl w:val="0"/>
    </w:pPr>
    <w:rPr>
      <w:b/>
      <w:caps/>
    </w:rPr>
  </w:style>
  <w:style w:type="paragraph" w:customStyle="1" w:styleId="BBHeading0Lower">
    <w:name w:val="B&amp;B Heading 0 (Lower)"/>
    <w:basedOn w:val="BBHeading0"/>
    <w:next w:val="BodyText"/>
    <w:uiPriority w:val="8"/>
    <w:qFormat/>
    <w:rsid w:val="000B7A1B"/>
    <w:rPr>
      <w:caps w:val="0"/>
    </w:rPr>
  </w:style>
  <w:style w:type="paragraph" w:styleId="CommentText">
    <w:name w:val="annotation text"/>
    <w:basedOn w:val="Normal"/>
    <w:link w:val="CommentTextChar"/>
    <w:uiPriority w:val="99"/>
    <w:unhideWhenUsed/>
    <w:rsid w:val="000B7A1B"/>
    <w:pPr>
      <w:spacing w:after="0" w:line="240" w:lineRule="auto"/>
    </w:pPr>
    <w:rPr>
      <w:rFonts w:cs="Times New Roman"/>
      <w:sz w:val="20"/>
      <w:szCs w:val="20"/>
      <w:lang w:val="en-GB"/>
    </w:rPr>
  </w:style>
  <w:style w:type="character" w:customStyle="1" w:styleId="CommentTextChar">
    <w:name w:val="Comment Text Char"/>
    <w:basedOn w:val="DefaultParagraphFont"/>
    <w:link w:val="CommentText"/>
    <w:uiPriority w:val="99"/>
    <w:rsid w:val="000B7A1B"/>
    <w:rPr>
      <w:rFonts w:cs="Times New Roman"/>
      <w:sz w:val="20"/>
      <w:szCs w:val="20"/>
      <w:lang w:val="en-GB"/>
    </w:rPr>
  </w:style>
  <w:style w:type="character" w:styleId="CommentReference">
    <w:name w:val="annotation reference"/>
    <w:basedOn w:val="DefaultParagraphFont"/>
    <w:uiPriority w:val="99"/>
    <w:semiHidden/>
    <w:unhideWhenUsed/>
    <w:rsid w:val="000B7A1B"/>
    <w:rPr>
      <w:sz w:val="16"/>
      <w:szCs w:val="16"/>
    </w:rPr>
  </w:style>
  <w:style w:type="paragraph" w:styleId="CommentSubject">
    <w:name w:val="annotation subject"/>
    <w:basedOn w:val="CommentText"/>
    <w:next w:val="CommentText"/>
    <w:link w:val="CommentSubjectChar"/>
    <w:uiPriority w:val="99"/>
    <w:semiHidden/>
    <w:unhideWhenUsed/>
    <w:rsid w:val="000B7A1B"/>
    <w:rPr>
      <w:b/>
      <w:bCs/>
    </w:rPr>
  </w:style>
  <w:style w:type="character" w:customStyle="1" w:styleId="CommentSubjectChar">
    <w:name w:val="Comment Subject Char"/>
    <w:basedOn w:val="CommentTextChar"/>
    <w:link w:val="CommentSubject"/>
    <w:uiPriority w:val="99"/>
    <w:semiHidden/>
    <w:rsid w:val="000B7A1B"/>
    <w:rPr>
      <w:rFonts w:cs="Times New Roman"/>
      <w:b/>
      <w:bCs/>
      <w:sz w:val="20"/>
      <w:szCs w:val="20"/>
      <w:lang w:val="en-GB"/>
    </w:rPr>
  </w:style>
  <w:style w:type="paragraph" w:styleId="Revision">
    <w:name w:val="Revision"/>
    <w:hidden/>
    <w:uiPriority w:val="99"/>
    <w:semiHidden/>
    <w:rsid w:val="000B7A1B"/>
    <w:pPr>
      <w:spacing w:after="0" w:line="240" w:lineRule="auto"/>
    </w:pPr>
    <w:rPr>
      <w:rFonts w:cs="Times New Roman"/>
      <w:lang w:val="en-GB"/>
    </w:rPr>
  </w:style>
  <w:style w:type="paragraph" w:styleId="ListParagraph">
    <w:name w:val="List Paragraph"/>
    <w:aliases w:val="Nummerierung"/>
    <w:basedOn w:val="Normal"/>
    <w:link w:val="ListParagraphChar"/>
    <w:uiPriority w:val="34"/>
    <w:qFormat/>
    <w:rsid w:val="000B7A1B"/>
    <w:pPr>
      <w:spacing w:after="0" w:line="240" w:lineRule="auto"/>
      <w:ind w:left="720"/>
      <w:contextualSpacing/>
    </w:pPr>
    <w:rPr>
      <w:rFonts w:cs="Times New Roman"/>
      <w:lang w:val="en-GB"/>
    </w:rPr>
  </w:style>
  <w:style w:type="character" w:styleId="PlaceholderText">
    <w:name w:val="Placeholder Text"/>
    <w:basedOn w:val="DefaultParagraphFont"/>
    <w:uiPriority w:val="99"/>
    <w:semiHidden/>
    <w:rsid w:val="000B7A1B"/>
    <w:rPr>
      <w:color w:val="808080"/>
    </w:rPr>
  </w:style>
  <w:style w:type="table" w:styleId="TableGrid">
    <w:name w:val="Table Grid"/>
    <w:basedOn w:val="TableNormal"/>
    <w:uiPriority w:val="39"/>
    <w:rsid w:val="000B7A1B"/>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7A1B"/>
    <w:rPr>
      <w:color w:val="0000FF"/>
      <w:u w:val="single"/>
    </w:rPr>
  </w:style>
  <w:style w:type="character" w:styleId="UnresolvedMention">
    <w:name w:val="Unresolved Mention"/>
    <w:basedOn w:val="DefaultParagraphFont"/>
    <w:uiPriority w:val="99"/>
    <w:semiHidden/>
    <w:unhideWhenUsed/>
    <w:rsid w:val="000B7A1B"/>
    <w:rPr>
      <w:color w:val="605E5C"/>
      <w:shd w:val="clear" w:color="auto" w:fill="E1DFDD"/>
    </w:rPr>
  </w:style>
  <w:style w:type="character" w:customStyle="1" w:styleId="staticpgtext">
    <w:name w:val="staticpgtext"/>
    <w:basedOn w:val="DefaultParagraphFont"/>
    <w:rsid w:val="000B7A1B"/>
    <w:rPr>
      <w:rFonts w:ascii="Arial" w:hAnsi="Arial" w:cs="Arial" w:hint="default"/>
      <w:sz w:val="20"/>
      <w:szCs w:val="20"/>
    </w:rPr>
  </w:style>
  <w:style w:type="character" w:customStyle="1" w:styleId="ListParagraphChar">
    <w:name w:val="List Paragraph Char"/>
    <w:aliases w:val="Nummerierung Char"/>
    <w:basedOn w:val="DefaultParagraphFont"/>
    <w:link w:val="ListParagraph"/>
    <w:uiPriority w:val="34"/>
    <w:rsid w:val="000B7A1B"/>
    <w:rPr>
      <w:rFonts w:cs="Times New Roman"/>
      <w:lang w:val="en-GB"/>
    </w:rPr>
  </w:style>
  <w:style w:type="character" w:customStyle="1" w:styleId="Heading2Char">
    <w:name w:val="Heading 2 Char"/>
    <w:basedOn w:val="DefaultParagraphFont"/>
    <w:link w:val="Heading2"/>
    <w:uiPriority w:val="9"/>
    <w:rsid w:val="00A635BD"/>
    <w:rPr>
      <w:rFonts w:ascii="Georgia" w:eastAsia="Georgia" w:hAnsi="Georgia" w:cs="Georgia"/>
      <w:color w:val="003768"/>
      <w:sz w:val="32"/>
      <w:szCs w:val="18"/>
      <w:lang w:val="en-GB" w:eastAsia="zh-CN"/>
    </w:rPr>
  </w:style>
  <w:style w:type="character" w:customStyle="1" w:styleId="Heading3Char">
    <w:name w:val="Heading 3 Char"/>
    <w:basedOn w:val="DefaultParagraphFont"/>
    <w:link w:val="Heading3"/>
    <w:uiPriority w:val="9"/>
    <w:rsid w:val="00A635BD"/>
    <w:rPr>
      <w:rFonts w:ascii="Verdana" w:eastAsiaTheme="majorEastAsia" w:hAnsi="Verdana" w:cstheme="majorBidi"/>
      <w:b/>
      <w:color w:val="003768"/>
      <w:szCs w:val="24"/>
      <w:lang w:val="en-GB" w:eastAsia="en-GB"/>
    </w:rPr>
  </w:style>
  <w:style w:type="character" w:customStyle="1" w:styleId="BodyChar">
    <w:name w:val="Body Char"/>
    <w:link w:val="Body"/>
    <w:locked/>
    <w:rsid w:val="00A635BD"/>
    <w:rPr>
      <w:rFonts w:ascii="Verdana" w:hAnsi="Verdana"/>
    </w:rPr>
  </w:style>
  <w:style w:type="paragraph" w:customStyle="1" w:styleId="Body">
    <w:name w:val="Body"/>
    <w:basedOn w:val="Normal"/>
    <w:link w:val="BodyChar"/>
    <w:qFormat/>
    <w:rsid w:val="00A635BD"/>
    <w:pPr>
      <w:numPr>
        <w:numId w:val="22"/>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A635BD"/>
    <w:pPr>
      <w:numPr>
        <w:ilvl w:val="1"/>
      </w:numPr>
      <w:tabs>
        <w:tab w:val="clear" w:pos="851"/>
        <w:tab w:val="clear" w:pos="1843"/>
        <w:tab w:val="clear" w:pos="3119"/>
        <w:tab w:val="clear" w:pos="4253"/>
        <w:tab w:val="num" w:pos="360"/>
        <w:tab w:val="num" w:pos="992"/>
      </w:tabs>
      <w:ind w:left="1080" w:hanging="992"/>
    </w:pPr>
  </w:style>
  <w:style w:type="paragraph" w:customStyle="1" w:styleId="iDefinition">
    <w:name w:val="(i) Definition"/>
    <w:basedOn w:val="Body"/>
    <w:qFormat/>
    <w:rsid w:val="00A635BD"/>
    <w:pPr>
      <w:numPr>
        <w:ilvl w:val="2"/>
      </w:numPr>
      <w:tabs>
        <w:tab w:val="clear" w:pos="1843"/>
        <w:tab w:val="clear" w:pos="3119"/>
        <w:tab w:val="clear" w:pos="4253"/>
        <w:tab w:val="num" w:pos="360"/>
        <w:tab w:val="num" w:pos="992"/>
      </w:tabs>
      <w:ind w:left="1800"/>
    </w:pPr>
  </w:style>
  <w:style w:type="paragraph" w:customStyle="1" w:styleId="Bodyindent">
    <w:name w:val="Body indent"/>
    <w:basedOn w:val="Body"/>
    <w:link w:val="BodyindentChar"/>
    <w:qFormat/>
    <w:rsid w:val="00A635BD"/>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A635BD"/>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A635BD"/>
    <w:pPr>
      <w:numPr>
        <w:numId w:val="25"/>
      </w:numPr>
      <w:spacing w:after="200" w:line="276" w:lineRule="auto"/>
      <w:ind w:left="454" w:hanging="454"/>
    </w:pPr>
    <w:rPr>
      <w:rFonts w:ascii="Verdana" w:eastAsia="Verdana" w:hAnsi="Verdana" w:cs="Verdana"/>
      <w:color w:val="000000"/>
      <w:lang w:val="en-GB" w:eastAsia="en-GB"/>
    </w:rPr>
  </w:style>
  <w:style w:type="character" w:customStyle="1" w:styleId="NormalNumberedChar">
    <w:name w:val="Normal Numbered Char"/>
    <w:basedOn w:val="DefaultParagraphFont"/>
    <w:link w:val="NormalNumbered"/>
    <w:rsid w:val="00A635BD"/>
    <w:rPr>
      <w:rFonts w:ascii="Verdana" w:eastAsia="Verdana" w:hAnsi="Verdana" w:cs="Verdana"/>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HTML/?uri=CELEX:32021D0914&amp;from=EN" TargetMode="External"/><Relationship Id="rId18" Type="http://schemas.openxmlformats.org/officeDocument/2006/relationships/hyperlink" Target="https://eur-lex.europa.eu/legal-content/EN/AUTO/?uri=OJ:L:2018:295:TOC" TargetMode="External"/><Relationship Id="rId26" Type="http://schemas.openxmlformats.org/officeDocument/2006/relationships/hyperlink" Target="https://eur-lex.europa.eu/legal-content/EN/TXT/HTML/?uri=CELEX:32021D0914&amp;from=EN" TargetMode="External"/><Relationship Id="rId3" Type="http://schemas.openxmlformats.org/officeDocument/2006/relationships/settings" Target="settings.xml"/><Relationship Id="rId21" Type="http://schemas.openxmlformats.org/officeDocument/2006/relationships/hyperlink" Target="https://eur-lex.europa.eu/legal-content/EN/TXT/HTML/?uri=CELEX:32021D0914&amp;from=EN"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yperlink" Target="https://eur-lex.europa.eu/legal-content/EN/TXT/HTML/?uri=CELEX:32021D0914&amp;from=EN" TargetMode="External"/><Relationship Id="rId25" Type="http://schemas.openxmlformats.org/officeDocument/2006/relationships/hyperlink" Target="https://eur-lex.europa.eu/legal-content/EN/TXT/HTML/?uri=CELEX:32021D0914&amp;from=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lex.europa.eu/legal-content/EN/TXT/HTML/?uri=CELEX:32021D0914&amp;from=EN" TargetMode="External"/><Relationship Id="rId20" Type="http://schemas.openxmlformats.org/officeDocument/2006/relationships/hyperlink" Target="https://eur-lex.europa.eu/legal-content/EN/TXT/HTML/?uri=CELEX:32021D0914&amp;from=EN" TargetMode="External"/><Relationship Id="rId29" Type="http://schemas.openxmlformats.org/officeDocument/2006/relationships/hyperlink" Target="https://eur-lex.europa.eu/legal-content/EN/TXT/HTML/?uri=CELEX:32021D0914&amp;fr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ur-lex.europa.eu/legal-content/EN/TXT/HTML/?uri=CELEX:32021D0914&amp;from=EN" TargetMode="External"/><Relationship Id="rId32" Type="http://schemas.openxmlformats.org/officeDocument/2006/relationships/hyperlink" Target="mailto:eszeto@cvent.com" TargetMode="External"/><Relationship Id="rId5" Type="http://schemas.openxmlformats.org/officeDocument/2006/relationships/footnotes" Target="footnotes.xml"/><Relationship Id="rId15" Type="http://schemas.openxmlformats.org/officeDocument/2006/relationships/hyperlink" Target="https://eur-lex.europa.eu/legal-content/EN/TXT/HTML/?uri=CELEX:32021D0914&amp;from=EN" TargetMode="External"/><Relationship Id="rId23" Type="http://schemas.openxmlformats.org/officeDocument/2006/relationships/hyperlink" Target="https://eur-lex.europa.eu/legal-content/EN/TXT/HTML/?uri=CELEX:32021D0914&amp;from=EN" TargetMode="External"/><Relationship Id="rId28" Type="http://schemas.openxmlformats.org/officeDocument/2006/relationships/hyperlink" Target="https://eur-lex.europa.eu/legal-content/EN/TXT/HTML/?uri=CELEX:32021D0914&amp;from=EN" TargetMode="External"/><Relationship Id="rId10" Type="http://schemas.openxmlformats.org/officeDocument/2006/relationships/footer" Target="footer1.xml"/><Relationship Id="rId19" Type="http://schemas.openxmlformats.org/officeDocument/2006/relationships/hyperlink" Target="https://eur-lex.europa.eu/legal-content/EN/TXT/HTML/?uri=CELEX:32021D0914&amp;from=EN" TargetMode="External"/><Relationship Id="rId31" Type="http://schemas.openxmlformats.org/officeDocument/2006/relationships/hyperlink" Target="https://www.cvent.com/uk/gdpr/cvents-affiliates-and-subprocess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lex.europa.eu/legal-content/EN/TXT/HTML/?uri=CELEX:32021D0914&amp;from=EN" TargetMode="External"/><Relationship Id="rId22" Type="http://schemas.openxmlformats.org/officeDocument/2006/relationships/hyperlink" Target="https://eur-lex.europa.eu/legal-content/EN/TXT/HTML/?uri=CELEX:32021D0914&amp;from=EN" TargetMode="External"/><Relationship Id="rId27" Type="http://schemas.openxmlformats.org/officeDocument/2006/relationships/hyperlink" Target="https://eur-lex.europa.eu/legal-content/EN/TXT/HTML/?uri=CELEX:32021D0914&amp;from=EN" TargetMode="External"/><Relationship Id="rId30" Type="http://schemas.openxmlformats.org/officeDocument/2006/relationships/image" Target="media/image3.png"/><Relationship Id="rId8" Type="http://schemas.openxmlformats.org/officeDocument/2006/relationships/hyperlink" Target="https://www.cvent.com/uk/gdpr/cvents-affiliates-and-subprocesso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14681</Words>
  <Characters>79719</Characters>
  <Application>Microsoft Office Word</Application>
  <DocSecurity>0</DocSecurity>
  <Lines>1733</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Kara</dc:creator>
  <cp:keywords/>
  <dc:description/>
  <cp:lastModifiedBy>Aguilar, Kara</cp:lastModifiedBy>
  <cp:revision>2</cp:revision>
  <cp:lastPrinted>2022-04-21T19:29:00Z</cp:lastPrinted>
  <dcterms:created xsi:type="dcterms:W3CDTF">2022-09-20T17:36:00Z</dcterms:created>
  <dcterms:modified xsi:type="dcterms:W3CDTF">2022-09-20T17:36:00Z</dcterms:modified>
</cp:coreProperties>
</file>